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06842" w14:textId="77777777" w:rsidR="00530629" w:rsidRPr="007D1C9E" w:rsidRDefault="00530629">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eastAsia="Arial Narrow"/>
          <w:color w:val="000000"/>
        </w:rPr>
      </w:pPr>
    </w:p>
    <w:p w14:paraId="3FCC9819" w14:textId="77777777" w:rsidR="00530629" w:rsidRPr="007D1C9E" w:rsidRDefault="00530629">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eastAsia="Arial Narrow"/>
          <w:color w:val="000000"/>
        </w:rPr>
      </w:pPr>
    </w:p>
    <w:p w14:paraId="26F3D50B" w14:textId="77777777" w:rsidR="00530629" w:rsidRPr="007D1C9E" w:rsidRDefault="00530629">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eastAsia="Arial Narrow"/>
          <w:color w:val="000000"/>
        </w:rPr>
      </w:pPr>
    </w:p>
    <w:p w14:paraId="7340D84A" w14:textId="25EF2BCE" w:rsidR="00530629" w:rsidRPr="007D1C9E" w:rsidRDefault="007D1C9E">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eastAsia="Arial Narrow"/>
          <w:color w:val="0042AA"/>
        </w:rPr>
      </w:pPr>
      <w:r w:rsidRPr="007D1C9E">
        <w:rPr>
          <w:rFonts w:eastAsia="Arial Narrow"/>
          <w:b/>
          <w:color w:val="000000"/>
        </w:rPr>
        <w:t>Nota de fundamentare privind propunerea de Hotarâre nr.8</w:t>
      </w:r>
    </w:p>
    <w:p w14:paraId="19B69229" w14:textId="77777777" w:rsidR="00530629" w:rsidRPr="007D1C9E" w:rsidRDefault="00530629">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eastAsia="Arial Narrow"/>
          <w:color w:val="000000"/>
        </w:rPr>
      </w:pPr>
    </w:p>
    <w:p w14:paraId="1AA44061" w14:textId="77777777" w:rsidR="007D1C9E" w:rsidRPr="007D1C9E" w:rsidRDefault="007D1C9E" w:rsidP="007D1C9E">
      <w:pPr>
        <w:jc w:val="center"/>
      </w:pPr>
      <w:r w:rsidRPr="007D1C9E">
        <w:rPr>
          <w:b/>
          <w:bCs/>
          <w:lang w:val="ro-RO"/>
        </w:rPr>
        <w:t>privind</w:t>
      </w:r>
      <w:r w:rsidRPr="007D1C9E">
        <w:rPr>
          <w:b/>
          <w:bCs/>
        </w:rPr>
        <w:t xml:space="preserve"> aprobarea încheierii unui contract de prestări-servicii ca urmare a derul</w:t>
      </w:r>
      <w:r w:rsidRPr="007D1C9E">
        <w:rPr>
          <w:b/>
          <w:bCs/>
          <w:lang w:val="ro-RO"/>
        </w:rPr>
        <w:t>ării achiziției pentru studiul de fundamentare și elaborare a temei de proiectare aferente obiectivului de investiții, potrivit specificațiilor tehnice anexate pentru proiectul „</w:t>
      </w:r>
      <w:r w:rsidRPr="007D1C9E">
        <w:rPr>
          <w:b/>
          <w:bCs/>
          <w:i/>
          <w:iCs/>
          <w:lang w:val="ro-RO"/>
        </w:rPr>
        <w:t>CLUJANA REGIONAL INNOVATION HUB”</w:t>
      </w:r>
    </w:p>
    <w:p w14:paraId="267F18AB" w14:textId="77777777" w:rsidR="00530629" w:rsidRPr="007D1C9E" w:rsidRDefault="00530629">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eastAsia="Arial Narrow"/>
          <w:color w:val="000000"/>
        </w:rPr>
      </w:pPr>
    </w:p>
    <w:p w14:paraId="7D76EFFE" w14:textId="77777777" w:rsidR="00350420" w:rsidRPr="0023664A" w:rsidRDefault="00350420" w:rsidP="00350420">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Arial Narrow" w:eastAsia="Arial Narrow" w:hAnsi="Arial Narrow" w:cs="Arial Narrow"/>
          <w:b/>
          <w:color w:val="000000"/>
        </w:rPr>
      </w:pPr>
      <w:r w:rsidRPr="0023664A">
        <w:rPr>
          <w:rFonts w:ascii="Arial Narrow" w:eastAsia="Arial Narrow" w:hAnsi="Arial Narrow" w:cs="Arial Narrow"/>
          <w:b/>
          <w:color w:val="000000"/>
        </w:rPr>
        <w:t xml:space="preserve">0. </w:t>
      </w:r>
      <w:r w:rsidRPr="0023664A">
        <w:rPr>
          <w:rFonts w:ascii="Arial Narrow" w:eastAsia="Arial Narrow" w:hAnsi="Arial Narrow" w:cs="Arial Narrow"/>
          <w:b/>
          <w:smallCaps/>
          <w:color w:val="000000"/>
        </w:rPr>
        <w:t>SCOPUL DOCUMENTULUI</w:t>
      </w:r>
    </w:p>
    <w:p w14:paraId="56E1EDE4" w14:textId="77777777" w:rsidR="00350420" w:rsidRPr="0023664A" w:rsidRDefault="00350420" w:rsidP="00350420">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Arial Narrow" w:eastAsia="Arial Narrow" w:hAnsi="Arial Narrow" w:cs="Arial Narrow"/>
          <w:color w:val="000000"/>
        </w:rPr>
      </w:pPr>
      <w:r w:rsidRPr="0023664A">
        <w:rPr>
          <w:rFonts w:ascii="Arial Narrow" w:eastAsia="Arial Narrow" w:hAnsi="Arial Narrow" w:cs="Arial Narrow"/>
          <w:color w:val="000000"/>
        </w:rPr>
        <w:tab/>
        <w:t>Prezentul memoriu justificativ are ca scop fundamentarea necesității contractării unei etape distincte de servicii de consultanță, studii și investigații preliminare, necesare fundamentării și elaborării Temei de proiectare aferente obiectivului de investiții Centrul Regional Clujana Inovation Hub, propus spre realizare în municipiul Cluj-Napoca, Piața 1 Mai.</w:t>
      </w:r>
    </w:p>
    <w:p w14:paraId="34701F2B" w14:textId="77777777" w:rsidR="00350420" w:rsidRPr="0023664A" w:rsidRDefault="00350420" w:rsidP="00350420">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Arial Narrow" w:eastAsia="Arial Narrow" w:hAnsi="Arial Narrow" w:cs="Arial Narrow"/>
          <w:color w:val="000000"/>
        </w:rPr>
      </w:pPr>
      <w:r w:rsidRPr="0023664A">
        <w:rPr>
          <w:rFonts w:ascii="Arial Narrow" w:eastAsia="Arial Narrow" w:hAnsi="Arial Narrow" w:cs="Arial Narrow"/>
          <w:color w:val="000000"/>
        </w:rPr>
        <w:tab/>
        <w:t>Tema de proiectare va constitui primul document programatic al procesului investițional și va avea rolul de a justifica necesitatea și oportunitatea realizării obiectivului, de a evidenția datele preliminare necesare implementării acestuia și de a fundamenta estimarea suportabilității investiției publice, în conformitate cu prevederile HG nr. 907/2016.</w:t>
      </w:r>
    </w:p>
    <w:p w14:paraId="4C68783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Investiția urmărește reabilitarea, conformarea și reconversia funcțională a unui ansamblu existent de hale industriale și spații administrative într-o infrastructură regională dedicată inovării, cercetării aplicate, dezvoltării tehnologice și transferului tehnologic, care va integra funcțiuni de tip FabLab, laboratoare tematice, spații pentru incubare și accelerare, precum și facilități suport destinate ecosistemului regional de inovare.</w:t>
      </w:r>
    </w:p>
    <w:p w14:paraId="5ED85CF2" w14:textId="77777777" w:rsidR="00350420" w:rsidRPr="0023664A" w:rsidRDefault="00350420" w:rsidP="00350420">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Arial Narrow" w:eastAsia="Arial Narrow" w:hAnsi="Arial Narrow" w:cs="Arial Narrow"/>
          <w:color w:val="000000"/>
        </w:rPr>
      </w:pPr>
      <w:r w:rsidRPr="0023664A">
        <w:rPr>
          <w:rFonts w:ascii="Arial Narrow" w:eastAsia="Arial Narrow" w:hAnsi="Arial Narrow" w:cs="Arial Narrow"/>
          <w:color w:val="000000"/>
        </w:rPr>
        <w:tab/>
        <w:t>Obiectivul investiției îl constituie transformarea unui fond construit existent într-o infrastructură capabilă să răspundă unor cerințe funcționale și tehnologice contemporane, cu respectarea exigențelor privind siguranța, performanța energetică, sustenabilitatea și eficiența utilizării resurselor publice.</w:t>
      </w:r>
    </w:p>
    <w:p w14:paraId="2D72ABFF" w14:textId="77777777" w:rsidR="00350420" w:rsidRPr="0023664A" w:rsidRDefault="00350420" w:rsidP="00350420">
      <w:pPr>
        <w:pBdr>
          <w:top w:val="nil"/>
          <w:left w:val="nil"/>
          <w:bottom w:val="nil"/>
          <w:right w:val="nil"/>
          <w:between w:val="nil"/>
        </w:pBdr>
        <w:rPr>
          <w:rFonts w:ascii="Helvetica Neue" w:eastAsia="Helvetica Neue" w:hAnsi="Helvetica Neue" w:cs="Helvetica Neue"/>
          <w:color w:val="000000"/>
        </w:rPr>
      </w:pPr>
    </w:p>
    <w:p w14:paraId="233D27AF" w14:textId="77777777" w:rsidR="00350420" w:rsidRPr="0023664A" w:rsidRDefault="00350420" w:rsidP="00350420">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Arial Narrow" w:eastAsia="Arial Narrow" w:hAnsi="Arial Narrow" w:cs="Arial Narrow"/>
          <w:b/>
          <w:color w:val="000000"/>
        </w:rPr>
      </w:pPr>
      <w:r w:rsidRPr="0023664A">
        <w:rPr>
          <w:rFonts w:ascii="Arial Narrow" w:eastAsia="Arial Narrow" w:hAnsi="Arial Narrow" w:cs="Arial Narrow"/>
          <w:b/>
          <w:color w:val="000000"/>
        </w:rPr>
        <w:t xml:space="preserve">1. </w:t>
      </w:r>
      <w:r w:rsidRPr="0023664A">
        <w:rPr>
          <w:rFonts w:ascii="Arial Narrow" w:eastAsia="Arial Narrow" w:hAnsi="Arial Narrow" w:cs="Arial Narrow"/>
          <w:b/>
          <w:smallCaps/>
          <w:color w:val="000000"/>
        </w:rPr>
        <w:t>CONTEXTUL INVESTIȚIEI</w:t>
      </w:r>
    </w:p>
    <w:p w14:paraId="7C283A70"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r>
      <w:r w:rsidRPr="0023664A">
        <w:rPr>
          <w:rFonts w:ascii="Arial Narrow" w:eastAsia="Arial Narrow" w:hAnsi="Arial Narrow" w:cs="Arial Narrow"/>
          <w:b/>
          <w:color w:val="000000"/>
        </w:rPr>
        <w:t>FUNDATIA INNOCORE</w:t>
      </w:r>
      <w:r w:rsidRPr="0023664A">
        <w:rPr>
          <w:rFonts w:ascii="Arial Narrow" w:eastAsia="Arial Narrow" w:hAnsi="Arial Narrow" w:cs="Arial Narrow"/>
          <w:color w:val="000000"/>
        </w:rPr>
        <w:t xml:space="preserve"> intenționează realizarea obiectivului de investiții Centrul Regional Clujana Inovation Hub, amplasat în municipiul Cluj-Napoca, Piața 1 Mai, prin reabilitarea, conformarea și refuncționalizarea unui ansamblu existent de hale industriale și spații administrative în vederea dezvoltării unui centru regional de inovare destinat activităților de cercetare, dezvoltare, prototipare, incubare de afaceri și transfer tehnologic. Imobilele sunt identificate prin CF 254071 și respectiv CF 254090, Arie Construită Desfășurată = cca. 8200 mp.</w:t>
      </w:r>
    </w:p>
    <w:p w14:paraId="2E56E109"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Investiția propusă are caracterul unei intervenții asupra unor construcții existente, pentru care procesul investițional va fi parcurs etapizat, în conformitate cu prevederile HG nr. 907/2016. Într-o primă etapă este necesară fundamentarea și elaborarea Temei de proiectare, document care va permite beneficiarului să justifice necesitatea și oportunitatea investiției, să stabilească datele preliminare necesare implementării acesteia și să estimeze suportabilitatea investiției publice.</w:t>
      </w:r>
    </w:p>
    <w:p w14:paraId="5603E3F8"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Caracterul de reconversie funcțională a unui ansamblu industrial existent face ca aceste date preliminare să nu poată fi stabilite exclusiv pe baza intențiilor investiționale ale beneficiarului. Ele trebuie corelate cu caracteristicile reale ale fondului construit, cu starea tehnică a acestuia, cu posibilitățile de adaptare la noul program funcțional și cu principalele condiționări ale amplasamentului. În acest sens este necesară o etapă preliminară de investigare, analiză și evaluare tehnică.</w:t>
      </w:r>
    </w:p>
    <w:p w14:paraId="6E4D88C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La momentul actual, beneficiarul deține doar informații preliminare privind amplasamentul și funcțiunile propuse, fără existența unei documentații tehnice complete care să permită definirea cu exactitate a parametrilor investiției. În prezent nu sunt cunoscuți cu precizie următorii parametrii:</w:t>
      </w:r>
    </w:p>
    <w:p w14:paraId="2F85BC9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suprafețele reale utilizabile;</w:t>
      </w:r>
    </w:p>
    <w:p w14:paraId="38A00B60"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geometria completă a construcțiilor existente;</w:t>
      </w:r>
    </w:p>
    <w:p w14:paraId="6EE12FA6"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starea tehnică a structurii;</w:t>
      </w:r>
    </w:p>
    <w:p w14:paraId="4FEDE1F9"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starea și capacitatea instalațiilor existente;</w:t>
      </w:r>
    </w:p>
    <w:p w14:paraId="7402F23C"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condițiile geotehnice reale ale amplasamentului;</w:t>
      </w:r>
    </w:p>
    <w:p w14:paraId="3013CD67"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limitările impuse de securitatea la incendiu;</w:t>
      </w:r>
    </w:p>
    <w:p w14:paraId="02BBA796"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lastRenderedPageBreak/>
        <w:t>- gradul de adaptabilitate al clădirilor la noul program funcțional;</w:t>
      </w:r>
    </w:p>
    <w:p w14:paraId="7418DDB0"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scenariile fezabile de ocupare și dezvoltare.</w:t>
      </w:r>
    </w:p>
    <w:p w14:paraId="78FD8B9E"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În lipsa acestor informații, beneficiarul nu poate fundamenta în mod obiectiv și documentat necesitatea, oportunitatea, amploarea și suportabilitatea investiției și nici nu poate stabili datele preliminare necesare implementării acesteia.</w:t>
      </w:r>
    </w:p>
    <w:p w14:paraId="31E225B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În conformitate cu art. 3 din HG nr. 907/2016, Tema de proiectare este documentația prin care se justifică necesitatea și oportunitatea realizării obiectivului de investiții, se evidențiază datele preliminare necesare implementării acestuia și se prezintă informații privind estimarea suportabilității investiției publice. Tema de proiectare astfel fundamentată va constitui, ulterior, baza pentru elaborarea etapelor subsecvente.</w:t>
      </w:r>
    </w:p>
    <w:p w14:paraId="4BCD6D97"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Rezultă astfel necesitatea parcurgerii unei etape distincte de consultanță, studii și investigații preliminare care să permită transformarea intenției investiționale într-o bază tehnică și funcțională suficient de fundamentată pentru elaborarea Temei de proiectare și continuarea ulterioară a procesului investițional.</w:t>
      </w:r>
    </w:p>
    <w:p w14:paraId="22F215B8" w14:textId="77777777" w:rsidR="00350420" w:rsidRPr="0023664A" w:rsidRDefault="00350420" w:rsidP="00350420">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Narrow" w:eastAsia="Arial Narrow" w:hAnsi="Arial Narrow" w:cs="Arial Narrow"/>
          <w:color w:val="000000"/>
        </w:rPr>
      </w:pPr>
    </w:p>
    <w:p w14:paraId="3C3801D8" w14:textId="77777777" w:rsidR="00350420" w:rsidRPr="0023664A" w:rsidRDefault="00350420" w:rsidP="00350420">
      <w:pPr>
        <w:keepNext/>
        <w:numPr>
          <w:ilvl w:val="0"/>
          <w:numId w:val="2"/>
        </w:num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b/>
          <w:smallCaps/>
          <w:color w:val="000000"/>
        </w:rPr>
        <w:t>NECESITATEA STUDIILOR DE FUNDAMENTARE</w:t>
      </w:r>
    </w:p>
    <w:p w14:paraId="4BAB98AE"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Având în vedere complexitatea investiției și caracterul de reconversie funcțională a unui ansamblu industrial existent, fundamentarea Temei de proiectare presupune realizarea unui set de investigații, studii și analize preliminare care să furnizeze date obiective privind situația existentă, oportunitatea intervenției, amploarea investiției și principalele condiționări tehnice și funcționale ale acesteia.</w:t>
      </w:r>
    </w:p>
    <w:p w14:paraId="110D238E"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Realizarea acestor investigații în această primă etapă permite diminuarea incertitudinilor tehnice și financiare, fundamentarea realistă a investiției și definirea unei baze de informații care va putea fi utilizată ulterior pentru elaborarea documentațiilor aferente etapelor subsecvente ale procesului investițional.</w:t>
      </w:r>
    </w:p>
    <w:p w14:paraId="4019B7F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35B3F74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b/>
          <w:color w:val="000000"/>
        </w:rPr>
      </w:pPr>
      <w:r w:rsidRPr="0023664A">
        <w:rPr>
          <w:rFonts w:ascii="Arial Narrow" w:eastAsia="Arial Narrow" w:hAnsi="Arial Narrow" w:cs="Arial Narrow"/>
          <w:b/>
          <w:color w:val="000000"/>
        </w:rPr>
        <w:t>2.1. Scanare laser 3D și modelare informațională</w:t>
      </w:r>
    </w:p>
    <w:p w14:paraId="5421D8CC"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Scanarea laser a întregului ansamblu și modelarea tridimensională reprezintă baza întregului proces de proiectare.Aceste activități permit:</w:t>
      </w:r>
    </w:p>
    <w:p w14:paraId="3186F5EF"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determinarea cu precizie a geometriei construcțiilor;</w:t>
      </w:r>
    </w:p>
    <w:p w14:paraId="219593EA"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obținerea releveului complet al ansamblului;</w:t>
      </w:r>
    </w:p>
    <w:p w14:paraId="0258336E"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verificarea suprafețelor reale;</w:t>
      </w:r>
    </w:p>
    <w:p w14:paraId="0CB9B803"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identificarea diferențelor dintre documentațiile existente și situația din teren;</w:t>
      </w:r>
    </w:p>
    <w:p w14:paraId="4BD515A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fundamentarea analizelor funcționale și spațiale;</w:t>
      </w:r>
    </w:p>
    <w:p w14:paraId="48AC418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dezvoltarea ulterioară a proiectului în sistem BIM.</w:t>
      </w:r>
    </w:p>
    <w:p w14:paraId="1359FC5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În lipsa acestui suport digital nu poate fi fundamentată repartizarea funcțiunilor și nici estimată corect amploarea intervențiilor.</w:t>
      </w:r>
    </w:p>
    <w:p w14:paraId="7E321620"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6287D43E"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b/>
          <w:color w:val="000000"/>
        </w:rPr>
      </w:pPr>
      <w:r w:rsidRPr="0023664A">
        <w:rPr>
          <w:rFonts w:ascii="Arial Narrow" w:eastAsia="Arial Narrow" w:hAnsi="Arial Narrow" w:cs="Arial Narrow"/>
          <w:b/>
          <w:color w:val="000000"/>
        </w:rPr>
        <w:t>2.2 Expertize tehnice privind construcțiile existente</w:t>
      </w:r>
    </w:p>
    <w:p w14:paraId="0FE629DD"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Expertizele și rapoartele tehnice urmăresc evaluarea stării reale a construcțiilor și identificarea limitărilor structurale ale investiției. Acestea permit:</w:t>
      </w:r>
    </w:p>
    <w:p w14:paraId="0BE0C6E0"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identificarea degradărilor existente;</w:t>
      </w:r>
    </w:p>
    <w:p w14:paraId="493A2CB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evaluarea capacității portante;</w:t>
      </w:r>
    </w:p>
    <w:p w14:paraId="57D1F179"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stabilirea măsurilor preliminare de consolidare;</w:t>
      </w:r>
    </w:p>
    <w:p w14:paraId="2C298101"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identificarea restricțiilor de intervenție;</w:t>
      </w:r>
    </w:p>
    <w:p w14:paraId="4F46D93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fundamentarea datelor preliminare privind fezabilitatea intervenției și amploarea măsurilor structurale, care vor fi integrate în Tema de proiectare și dezvoltate ulterior în etapele de proiectare.</w:t>
      </w:r>
    </w:p>
    <w:p w14:paraId="6C088C6A"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Rezultatele expertizelor reprezintă unul dintre principalele documente pe baza cărora se stabilește amploarea investiției. Este important de notat că aceste expertize se realizează în baza releveului rezultat în urma scanării și modelării informaționale amintite mai sus. Expertizele necesare în această etapă sunt:</w:t>
      </w:r>
    </w:p>
    <w:p w14:paraId="1EFFB280"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Expertiză tehnică privind rezistența mecanică și stabilitatea construcțiilor (cerințele fundamentale A1 și A2);</w:t>
      </w:r>
    </w:p>
    <w:p w14:paraId="526F92DE"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Expertiză tehnică privind securitatea la incendiu a construcțiilor și instalațiilor (cerințele fundamentale Cc și Ci).</w:t>
      </w:r>
    </w:p>
    <w:p w14:paraId="1D623B99"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5C95141A"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5E311A23"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1CC491C0"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b/>
          <w:color w:val="000000"/>
        </w:rPr>
      </w:pPr>
      <w:r w:rsidRPr="0023664A">
        <w:rPr>
          <w:rFonts w:ascii="Arial Narrow" w:eastAsia="Arial Narrow" w:hAnsi="Arial Narrow" w:cs="Arial Narrow"/>
          <w:b/>
          <w:color w:val="000000"/>
        </w:rPr>
        <w:t>2.3 Investigații asupra materialelor</w:t>
      </w:r>
    </w:p>
    <w:p w14:paraId="3C182ED8"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lastRenderedPageBreak/>
        <w:tab/>
        <w:t>În funcție de rezultatele expertizelor tehnice, se impune efectuarea investigațiilor asupra materialelor existente, în vederea confirmării caracteristicilor mecanice și a stării de conservare a elementelor structurale. Aceste informații permit reducerea incertitudinilor privind soluțiile structurale și optimizarea intervențiilor propuse.</w:t>
      </w:r>
    </w:p>
    <w:p w14:paraId="06C9E1E0"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09EAF3D8"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b/>
          <w:color w:val="000000"/>
        </w:rPr>
      </w:pPr>
      <w:r w:rsidRPr="0023664A">
        <w:rPr>
          <w:rFonts w:ascii="Arial Narrow" w:eastAsia="Arial Narrow" w:hAnsi="Arial Narrow" w:cs="Arial Narrow"/>
          <w:b/>
          <w:color w:val="000000"/>
        </w:rPr>
        <w:t>2.4 Studiul geotehnic</w:t>
      </w:r>
    </w:p>
    <w:p w14:paraId="1599520E"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Studiul geotehnic are rolul de a caracteriza terenul de fundare și de a furniza informațiile necesare evaluării comportării construcțiilor existente și eventualelor intervenții asupra fundațiilor. Rezultatele acestuia permit caracterizarea preliminară a condițiilor de fundare și identificarea condiționărilor geotehnice cu impact asupra fezabilității și amplorii investiției:</w:t>
      </w:r>
    </w:p>
    <w:p w14:paraId="35ED997C"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verificarea soluțiilor structurale;</w:t>
      </w:r>
    </w:p>
    <w:p w14:paraId="7725FEF0"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posibilitatea realizării unor intervenții locale;</w:t>
      </w:r>
    </w:p>
    <w:p w14:paraId="07B235AD"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estimarea costurilor aferente lucrărilor structurale.</w:t>
      </w:r>
    </w:p>
    <w:p w14:paraId="5AC1E45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5B60F9A6"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b/>
          <w:color w:val="000000"/>
        </w:rPr>
      </w:pPr>
      <w:r w:rsidRPr="0023664A">
        <w:rPr>
          <w:rFonts w:ascii="Arial Narrow" w:eastAsia="Arial Narrow" w:hAnsi="Arial Narrow" w:cs="Arial Narrow"/>
          <w:b/>
          <w:color w:val="000000"/>
        </w:rPr>
        <w:t>2.5 Studiul topografic</w:t>
      </w:r>
    </w:p>
    <w:p w14:paraId="325649A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Ridicarea topografică permite definirea cu precizie a amplasamentului și a relației dintre construcțiile existente și infrastructura urbană. Acesta furnizează informații privind:</w:t>
      </w:r>
    </w:p>
    <w:p w14:paraId="3355025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limitele proprietății;</w:t>
      </w:r>
    </w:p>
    <w:p w14:paraId="5F474F38"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circulațiile existente;</w:t>
      </w:r>
    </w:p>
    <w:p w14:paraId="4DB6F71A"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relația cu utilitățile;</w:t>
      </w:r>
    </w:p>
    <w:p w14:paraId="7F327F87"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organizarea accesurilor;</w:t>
      </w:r>
    </w:p>
    <w:p w14:paraId="4F534B23"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gestionarea situațiilor de urgență;</w:t>
      </w:r>
    </w:p>
    <w:p w14:paraId="49766989"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integrarea investiției în contextul urban.</w:t>
      </w:r>
    </w:p>
    <w:p w14:paraId="5EBB9538"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5D586720"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b/>
          <w:color w:val="000000"/>
        </w:rPr>
      </w:pPr>
      <w:r w:rsidRPr="0023664A">
        <w:rPr>
          <w:rFonts w:ascii="Arial Narrow" w:eastAsia="Arial Narrow" w:hAnsi="Arial Narrow" w:cs="Arial Narrow"/>
          <w:b/>
          <w:color w:val="000000"/>
        </w:rPr>
        <w:t>2.6 Analiza preliminară privind securitatea la incendiu</w:t>
      </w:r>
    </w:p>
    <w:p w14:paraId="2379120A"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Având în vedere schimbarea de destinație a construcțiilor existente și funcțiunile propuse, este necesară o analiză preliminară privind cerințele de securitate la incendiu. Aceasta urmărește:</w:t>
      </w:r>
    </w:p>
    <w:p w14:paraId="76B5D42F"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identificarea principalelor limitări funcționale;</w:t>
      </w:r>
    </w:p>
    <w:p w14:paraId="389A0503"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evaluarea compartimentărilor existente;</w:t>
      </w:r>
    </w:p>
    <w:p w14:paraId="07BF1A56"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analiza căilor de evacuare;</w:t>
      </w:r>
    </w:p>
    <w:p w14:paraId="49620B57"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identificarea măsurilor cu impact asupra organizării spațiilor.</w:t>
      </w:r>
    </w:p>
    <w:p w14:paraId="5159E7FD"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Rezultatele acestei analize influențează direct fezabilitatea programului funcțional propus, modul preliminar de ocupare a construcțiilor și estimarea amplorii măsurilor de conformare, informații necesare fundamentării Temei de proiectare.</w:t>
      </w:r>
    </w:p>
    <w:p w14:paraId="0125B78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1EFE1E4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b/>
          <w:color w:val="000000"/>
        </w:rPr>
      </w:pPr>
      <w:r w:rsidRPr="0023664A">
        <w:rPr>
          <w:rFonts w:ascii="Arial Narrow" w:eastAsia="Arial Narrow" w:hAnsi="Arial Narrow" w:cs="Arial Narrow"/>
          <w:b/>
          <w:color w:val="000000"/>
        </w:rPr>
        <w:t>2.7 Analiza funcțională și workshop-uri de fundamentare</w:t>
      </w:r>
    </w:p>
    <w:p w14:paraId="15DCE6D6"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Pe baza informațiilor rezultate din toate studiile tehnice se vor organiza sesiuni de lucru împreună cu reprezentanții ADR Nord-Vest și cu partenerii implicați în dezvoltarea conceptului INNOCORE. Aceste activități urmăresc:</w:t>
      </w:r>
    </w:p>
    <w:p w14:paraId="56905893"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definirea programului funcțional;</w:t>
      </w:r>
    </w:p>
    <w:p w14:paraId="7AA2E3C4"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stabilirea relațiilor dintre funcțiuni;</w:t>
      </w:r>
    </w:p>
    <w:p w14:paraId="5608CEFD"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prioritizarea investițiilor;</w:t>
      </w:r>
    </w:p>
    <w:p w14:paraId="2AF9924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validarea fluxurilor tehnologice;</w:t>
      </w:r>
    </w:p>
    <w:p w14:paraId="436CB95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definirea cerințelor tehnice și operaționale;</w:t>
      </w:r>
    </w:p>
    <w:p w14:paraId="3D0FA78F"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fundamentarea indicatorilor de performanță ai investiției.</w:t>
      </w:r>
    </w:p>
    <w:p w14:paraId="1C9BE813"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Rezultatul acestor activități îl constituie transformarea datelor tehnice și a intențiilor beneficiarului într-un set coerent de date preliminare privind obiectivul de investiții, necesare elaborării Temei de proiectare și, ulterior, etapelor subsecvente.</w:t>
      </w:r>
    </w:p>
    <w:p w14:paraId="2422F38D"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6BE6291C"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77C3FC8C"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34BC7DEC"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3E379256"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74F5D1A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1578901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4D3BB00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b/>
          <w:color w:val="000000"/>
        </w:rPr>
      </w:pPr>
      <w:r w:rsidRPr="0023664A">
        <w:rPr>
          <w:rFonts w:ascii="Arial Narrow" w:eastAsia="Arial Narrow" w:hAnsi="Arial Narrow" w:cs="Arial Narrow"/>
          <w:b/>
          <w:color w:val="000000"/>
        </w:rPr>
        <w:t xml:space="preserve">3. </w:t>
      </w:r>
      <w:r w:rsidRPr="0023664A">
        <w:rPr>
          <w:rFonts w:ascii="Arial Narrow" w:eastAsia="Arial Narrow" w:hAnsi="Arial Narrow" w:cs="Arial Narrow"/>
          <w:b/>
          <w:smallCaps/>
          <w:color w:val="000000"/>
        </w:rPr>
        <w:t>RELAȚIA DINTRE STUDIILE PRELIMINARE, TEMA DE PROIECTARE ȘI ETAPELE SUBSECVENTE ALE INVESTIȚIEI</w:t>
      </w:r>
    </w:p>
    <w:p w14:paraId="05DC937A"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7A1252C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Investigațiile, studiile și analizele preliminare nu reprezintă un scop în sine, ci constituie baza tehnică necesară fundamentării Temei de proiectare.</w:t>
      </w:r>
    </w:p>
    <w:p w14:paraId="2BFDD975"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În conformitate cu prevederile HG nr. 907/2016, Tema de proiectare reprezintă documentația prin care se justifică necesitatea și oportunitatea realizării obiectivului de investiții, se evidențiază datele preliminare necesare implementării acestuia și se prezintă informații privind estimarea suportabilității investiției publice.</w:t>
      </w:r>
    </w:p>
    <w:p w14:paraId="448C367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În cadrul Temei de proiectare va fi fundamentată, în funcție de caracteristicile și complexitatea obiectivului de investiții și de concluziile studiilor și investigațiilor preliminare, necesitatea elaborării documentațiilor, studiilor de specialitate, expertizelor, auditurilor sau analizelor relevante pentru continuarea procesului investițional, în condițiile HG nr. 907/2016.</w:t>
      </w:r>
    </w:p>
    <w:p w14:paraId="52117E31"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Prin urmare, prezenta etapă nu are ca obiect stabilirea anticipată a soluției tehnico-economice sau a configurației definitive a etapelor ulterioare, ci crearea bazei documentate necesare beneficiarului pentru stabilirea fundamentată a parcursului ulterior al investiției.</w:t>
      </w:r>
    </w:p>
    <w:p w14:paraId="04230249"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Documentațiile aferente etapelor subsecvente Temei de proiectare vor fi elaborate cu respectarea condițiilor și documentațiilor prealabile prevăzute de HG nr. 907/2016.</w:t>
      </w:r>
    </w:p>
    <w:p w14:paraId="4E1B4DE3"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0887CD1E"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b/>
          <w:color w:val="000000"/>
        </w:rPr>
      </w:pPr>
      <w:r w:rsidRPr="0023664A">
        <w:rPr>
          <w:rFonts w:ascii="Arial Narrow" w:eastAsia="Arial Narrow" w:hAnsi="Arial Narrow" w:cs="Arial Narrow"/>
          <w:b/>
          <w:color w:val="000000"/>
        </w:rPr>
        <w:t>4.</w:t>
      </w:r>
      <w:r w:rsidRPr="0023664A">
        <w:rPr>
          <w:rFonts w:ascii="Arial Narrow" w:eastAsia="Arial Narrow" w:hAnsi="Arial Narrow" w:cs="Arial Narrow"/>
          <w:b/>
          <w:smallCaps/>
          <w:color w:val="000000"/>
        </w:rPr>
        <w:t xml:space="preserve"> LIVRABILUL ETAPEI</w:t>
      </w:r>
    </w:p>
    <w:p w14:paraId="5CD4AE98"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Rezultatul prezentei etape îl constituie documentația de fundamentare a Temei de proiectare aferente obiectivului Centrul Regional Clujana Inovation Hub, structurată în conformitate cu conținutul-cadru prevăzut de HG nr. 907/2016.</w:t>
      </w:r>
    </w:p>
    <w:p w14:paraId="663AEDFC"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Documentul va integra rezultatele studiilor, expertizelor și analizelor preliminare relevante pentru această etapă și va furniza beneficiarului informațiile necesare definitivării și aprobării Temei de proiectare, cuprinzând, fără a se limita la:</w:t>
      </w:r>
    </w:p>
    <w:p w14:paraId="7DC8C48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informații generale privind obiectivul de investiții;</w:t>
      </w:r>
    </w:p>
    <w:p w14:paraId="1A290D3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fundamentarea necesității și oportunității realizării investiției;</w:t>
      </w:r>
    </w:p>
    <w:p w14:paraId="33EC0504"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analiza situației existente și a principalelor deficiențe;</w:t>
      </w:r>
    </w:p>
    <w:p w14:paraId="008939B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efectele preconizate ale realizării investiției și implicațiile nerealizării acesteia;</w:t>
      </w:r>
    </w:p>
    <w:p w14:paraId="2B787528"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obiectivele generale preconizate;</w:t>
      </w:r>
    </w:p>
    <w:p w14:paraId="4733382E"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estimarea preliminară a costurilor investiției și a cheltuielilor aferente etapelor ulterioare de proiectare;</w:t>
      </w:r>
    </w:p>
    <w:p w14:paraId="12FF07F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sursele de finanțare avute în vedere;</w:t>
      </w:r>
    </w:p>
    <w:p w14:paraId="5CE1DA16"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informații privind regimul juridic, economic și tehnic al imobilelor;</w:t>
      </w:r>
    </w:p>
    <w:p w14:paraId="5F7856C8"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particularitățile amplasamentului;</w:t>
      </w:r>
    </w:p>
    <w:p w14:paraId="26A619DD"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sinteza studiilor, expertizelor și investigațiilor preliminare;</w:t>
      </w:r>
    </w:p>
    <w:p w14:paraId="4D3AF9A4"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date preliminare privind programul funcțional și posibilitățile de ocupare a construcțiilor;</w:t>
      </w:r>
    </w:p>
    <w:p w14:paraId="6A87F7E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principalele condiționări tehnice identificate;</w:t>
      </w:r>
    </w:p>
    <w:p w14:paraId="7D3EEF6C"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fundamentarea necesității elaborării documentațiilor, studiilor de specialitate, expertizelor, auditurilor și analizelor relevante pentru etapele subsecvente ale procesului investițional, după caz, în conformitate cu prevederile HG nr. 907/2016.</w:t>
      </w:r>
    </w:p>
    <w:p w14:paraId="72740881"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Tema de proiectare va constitui documentul prin care beneficiarul justifică necesitatea și oportunitatea investiției și stabilește cadrul preliminar al acesteia. Pe baza concluziilor sale va fi fundamentată necesitatea și succesiunea documentațiilor și etapelor subsecvente ale procesului investițional, în conformitate cu prevederile HG nr. 907/2016.</w:t>
      </w:r>
    </w:p>
    <w:p w14:paraId="687729E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p w14:paraId="3E8EA808"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b/>
          <w:color w:val="000000"/>
        </w:rPr>
      </w:pPr>
      <w:r w:rsidRPr="0023664A">
        <w:rPr>
          <w:rFonts w:ascii="Arial Narrow" w:eastAsia="Arial Narrow" w:hAnsi="Arial Narrow" w:cs="Arial Narrow"/>
          <w:b/>
          <w:color w:val="000000"/>
        </w:rPr>
        <w:t xml:space="preserve">5. </w:t>
      </w:r>
      <w:r w:rsidRPr="0023664A">
        <w:rPr>
          <w:rFonts w:ascii="Arial Narrow" w:eastAsia="Arial Narrow" w:hAnsi="Arial Narrow" w:cs="Arial Narrow"/>
          <w:b/>
          <w:smallCaps/>
          <w:color w:val="000000"/>
        </w:rPr>
        <w:t>CONCLUZII</w:t>
      </w:r>
    </w:p>
    <w:p w14:paraId="01D10816"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Având în vedere:</w:t>
      </w:r>
    </w:p>
    <w:p w14:paraId="4B2FEAEA"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complexitatea investiției;</w:t>
      </w:r>
    </w:p>
    <w:p w14:paraId="0853F253"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caracterul de reconversie funcțională a unui ansamblu industrial existent;</w:t>
      </w:r>
    </w:p>
    <w:p w14:paraId="1784001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lipsa documentației tehnice complete privind construcțiile analizate;</w:t>
      </w:r>
    </w:p>
    <w:p w14:paraId="3E036292"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 necesitatea evaluării stării tehnice și funcționale a fondului construit;</w:t>
      </w:r>
    </w:p>
    <w:p w14:paraId="22E93F13"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lastRenderedPageBreak/>
        <w:t>- necesitatea parcurgerii etapizate a procesului investițional, prin fundamentarea și aprobarea într-o primă etapă a Temei de proiectare, aceasta urmând să fundamenteze, în condițiile HG nr. 907/2016, necesitatea și conținutul documentațiilor și studiilor aferente etapelor subsecvente;</w:t>
      </w:r>
    </w:p>
    <w:p w14:paraId="6925930B"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Se justifică astfel necesitatea contractării unei prime etape distincte de servicii de consultanță, studii și investigații preliminare pentru fundamentarea și elaborarea Temei de proiectare aferente obiectivului de investiții. Etapa are rolul de a furniza datele tehnice, funcționale și economice preliminare necesare justificării necesității și oportunității investiției și de a crea baza documentată pentru stabilirea fundamentată a parcursului ulterior al procesului investițional, în conformitate cu prevederile HG nr. 907/2016.</w:t>
      </w:r>
    </w:p>
    <w:p w14:paraId="6186F059"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r w:rsidRPr="0023664A">
        <w:rPr>
          <w:rFonts w:ascii="Arial Narrow" w:eastAsia="Arial Narrow" w:hAnsi="Arial Narrow" w:cs="Arial Narrow"/>
          <w:color w:val="000000"/>
        </w:rPr>
        <w:tab/>
        <w:t>Estimarea valorii serviciilor s-a realizat utilizând indicatori specifici fiecărei categorii de activități, respectiv suprafață construită desfășurată (€/mp), volum estimat de muncă (ore de lucru) și valori forfetare rezultate din ofertele preliminare ale operatorilor economici specializați, în funcție de natura și complexitatea fiecărui serviciu.</w:t>
      </w:r>
    </w:p>
    <w:p w14:paraId="10BF80FE" w14:textId="77777777" w:rsidR="00350420" w:rsidRPr="0023664A" w:rsidRDefault="00350420" w:rsidP="00350420">
      <w:pPr>
        <w:pBdr>
          <w:top w:val="nil"/>
          <w:left w:val="nil"/>
          <w:bottom w:val="nil"/>
          <w:right w:val="nil"/>
          <w:between w:val="nil"/>
        </w:pBdr>
        <w:jc w:val="both"/>
        <w:rPr>
          <w:rFonts w:ascii="Arial Narrow" w:eastAsia="Arial Narrow" w:hAnsi="Arial Narrow" w:cs="Arial Narrow"/>
          <w:color w:val="000000"/>
        </w:rPr>
      </w:pPr>
    </w:p>
    <w:tbl>
      <w:tblPr>
        <w:tblW w:w="962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160"/>
        <w:gridCol w:w="4060"/>
        <w:gridCol w:w="2407"/>
      </w:tblGrid>
      <w:tr w:rsidR="00350420" w:rsidRPr="0023664A" w14:paraId="25E1B546" w14:textId="77777777" w:rsidTr="00093397">
        <w:trPr>
          <w:trHeight w:val="295"/>
        </w:trPr>
        <w:tc>
          <w:tcPr>
            <w:tcW w:w="3160"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1DC45104"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b/>
                <w:color w:val="000000"/>
              </w:rPr>
              <w:t>STUDII</w:t>
            </w:r>
          </w:p>
        </w:tc>
        <w:tc>
          <w:tcPr>
            <w:tcW w:w="6467"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F64B789" w14:textId="77777777" w:rsidR="00350420" w:rsidRPr="0023664A" w:rsidRDefault="00350420" w:rsidP="00093397"/>
        </w:tc>
      </w:tr>
      <w:tr w:rsidR="00350420" w:rsidRPr="0023664A" w14:paraId="61C88B8B" w14:textId="77777777" w:rsidTr="00093397">
        <w:trPr>
          <w:trHeight w:val="3645"/>
        </w:trPr>
        <w:tc>
          <w:tcPr>
            <w:tcW w:w="3160" w:type="dxa"/>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5EF4023D"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b/>
                <w:color w:val="000000"/>
              </w:rPr>
              <w:t>Scanare laser</w:t>
            </w:r>
          </w:p>
        </w:tc>
        <w:tc>
          <w:tcPr>
            <w:tcW w:w="6467" w:type="dxa"/>
            <w:gridSpan w:val="2"/>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5206C6C2"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Scanarea laser 3D este necesară pentru determinarea cu precizie a geometriei reale a construcțiilor existente și realizarea suportului tehnic necesar elaborării releveelor. Documentația rezultată permite verificarea suprafețelor reale, identificarea diferențelor dintre documentațiile existente și situația din teren și constituie baza tuturor analizelor și etapelor ulterioare de proiectare.</w:t>
            </w:r>
          </w:p>
          <w:p w14:paraId="6903F031"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 xml:space="preserve">Onorariul este estimat la aproximativ </w:t>
            </w:r>
            <w:r w:rsidRPr="0023664A">
              <w:rPr>
                <w:rFonts w:ascii="Arial Narrow" w:eastAsia="Arial Narrow" w:hAnsi="Arial Narrow" w:cs="Arial Narrow"/>
                <w:b/>
                <w:color w:val="000000"/>
              </w:rPr>
              <w:t>0,75 euro/mp suprafață construită desfășurată</w:t>
            </w:r>
            <w:r w:rsidRPr="0023664A">
              <w:rPr>
                <w:rFonts w:ascii="Arial Narrow" w:eastAsia="Arial Narrow" w:hAnsi="Arial Narrow" w:cs="Arial Narrow"/>
                <w:color w:val="000000"/>
              </w:rPr>
              <w:t>, fiind fundamentat pe baza ofertei preliminare primite și raportat la suprafața totală analizată.</w:t>
            </w:r>
          </w:p>
          <w:p w14:paraId="57228155"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Include: mobilizare echipamentelor și a personalului de specialitate; scanare 3D; generare nor brut de puncte; curățare și prelucrare nor brut de puncte; prelucrare; exportul datelor în formatele necesare etapelor ulterioare de proiectare.</w:t>
            </w:r>
          </w:p>
        </w:tc>
      </w:tr>
      <w:tr w:rsidR="00350420" w:rsidRPr="0023664A" w14:paraId="38CD6634" w14:textId="77777777" w:rsidTr="00093397">
        <w:trPr>
          <w:trHeight w:val="3085"/>
        </w:trPr>
        <w:tc>
          <w:tcPr>
            <w:tcW w:w="3160"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659E4263"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b/>
                <w:color w:val="000000"/>
              </w:rPr>
              <w:t>Modelare 3D+RLV 2D</w:t>
            </w:r>
          </w:p>
        </w:tc>
        <w:tc>
          <w:tcPr>
            <w:tcW w:w="6467"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365C994"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Modelarea informațională și elaborarea releveelor 2D permit transpunerea informațiilor rezultate din scanarea laser într-un model digital utilizabil pentru analiza funcțională, evaluarea investiției și dezvoltarea proiectului în sistem BIM (Building Information Modelling).</w:t>
            </w:r>
          </w:p>
          <w:p w14:paraId="72F2DEAC"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 xml:space="preserve">Estimarea onorariului este realizată pe baza unui volum estimat de </w:t>
            </w:r>
            <w:r w:rsidRPr="0023664A">
              <w:rPr>
                <w:rFonts w:ascii="Arial Narrow" w:eastAsia="Arial Narrow" w:hAnsi="Arial Narrow" w:cs="Arial Narrow"/>
                <w:b/>
                <w:color w:val="000000"/>
              </w:rPr>
              <w:t>aproximativ 310 ore de lucru</w:t>
            </w:r>
            <w:r w:rsidRPr="0023664A">
              <w:rPr>
                <w:rFonts w:ascii="Arial Narrow" w:eastAsia="Arial Narrow" w:hAnsi="Arial Narrow" w:cs="Arial Narrow"/>
                <w:color w:val="000000"/>
              </w:rPr>
              <w:t xml:space="preserve">, la un tarif orientativ de </w:t>
            </w:r>
            <w:r w:rsidRPr="0023664A">
              <w:rPr>
                <w:rFonts w:ascii="Arial Narrow" w:eastAsia="Arial Narrow" w:hAnsi="Arial Narrow" w:cs="Arial Narrow"/>
                <w:b/>
                <w:color w:val="000000"/>
              </w:rPr>
              <w:t>28,75 euro/oră</w:t>
            </w:r>
            <w:r w:rsidRPr="0023664A">
              <w:rPr>
                <w:rFonts w:ascii="Arial Narrow" w:eastAsia="Arial Narrow" w:hAnsi="Arial Narrow" w:cs="Arial Narrow"/>
                <w:color w:val="000000"/>
              </w:rPr>
              <w:t>, rezultat din complexitatea operațiunilor de modelare și desenare.</w:t>
            </w:r>
          </w:p>
          <w:p w14:paraId="6A555741"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Serviciul include: coordonarea și verificarea norului de puncte;</w:t>
            </w:r>
          </w:p>
          <w:p w14:paraId="670152AB"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 xml:space="preserve">modelarea informațională 3D; elaborarea releveelor 2D; verificarea și corelarea informațiilor; controlul calității modelului și documentației grafice. </w:t>
            </w:r>
          </w:p>
        </w:tc>
      </w:tr>
      <w:tr w:rsidR="00350420" w:rsidRPr="0023664A" w14:paraId="170DF7FE" w14:textId="77777777" w:rsidTr="00093397">
        <w:trPr>
          <w:trHeight w:val="3645"/>
        </w:trPr>
        <w:tc>
          <w:tcPr>
            <w:tcW w:w="3160" w:type="dxa"/>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3AD6AAF0"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b/>
                <w:color w:val="000000"/>
              </w:rPr>
              <w:lastRenderedPageBreak/>
              <w:t>Raport preliminar expertiză tehnică A1, A2</w:t>
            </w:r>
          </w:p>
        </w:tc>
        <w:tc>
          <w:tcPr>
            <w:tcW w:w="6467" w:type="dxa"/>
            <w:gridSpan w:val="2"/>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58688F0E"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Expertiza tehnică privind rezistența mecanică și stabilitatea construcțiilor (cerințele fundamentale A1 și A2) este necesară pentru evaluarea stării tehnice a construcțiilor existente și pentru stabilirea capacității acestora de a susține noile funcțiuni propuse. Rezultatele expertizei permit identificarea degradărilor, evaluarea capacității portante și fundamentarea măsurilor preliminare de intervenție structurală.</w:t>
            </w:r>
          </w:p>
          <w:p w14:paraId="3E44EC12"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 xml:space="preserve">Onorariul este estimat la aproximativ </w:t>
            </w:r>
            <w:r w:rsidRPr="0023664A">
              <w:rPr>
                <w:rFonts w:ascii="Arial Narrow" w:eastAsia="Arial Narrow" w:hAnsi="Arial Narrow" w:cs="Arial Narrow"/>
                <w:b/>
                <w:color w:val="000000"/>
              </w:rPr>
              <w:t>1,25 euro/mp suprafață construită desfășurată</w:t>
            </w:r>
            <w:r w:rsidRPr="0023664A">
              <w:rPr>
                <w:rFonts w:ascii="Arial Narrow" w:eastAsia="Arial Narrow" w:hAnsi="Arial Narrow" w:cs="Arial Narrow"/>
                <w:color w:val="000000"/>
              </w:rPr>
              <w:t>, fiind fundamentat pe baza ofertei preliminare primite și raportat la suprafața construită desfășurată analizată.</w:t>
            </w:r>
          </w:p>
          <w:p w14:paraId="75213C29"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Include: inspecții vizuale; analiza documentației existente și a modelului 3D cu relevee; evaluarea degradărilor; calcule structurale raportate la noul program funcțional; verificarea conformării la reglementările tehnice aplicabile; elaborarea raportului preliminar de expertiză tehnică.</w:t>
            </w:r>
          </w:p>
        </w:tc>
      </w:tr>
      <w:tr w:rsidR="00350420" w:rsidRPr="0023664A" w14:paraId="35B167E9" w14:textId="77777777" w:rsidTr="00093397">
        <w:trPr>
          <w:trHeight w:val="5605"/>
        </w:trPr>
        <w:tc>
          <w:tcPr>
            <w:tcW w:w="3160"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DEF91EF"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b/>
                <w:color w:val="000000"/>
              </w:rPr>
              <w:t>Teste materiale</w:t>
            </w:r>
          </w:p>
        </w:tc>
        <w:tc>
          <w:tcPr>
            <w:tcW w:w="6467"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3ABE3C51"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Confirmarea caracteristicilor fizico-mecanice ale materialelor existente reprezintă o etapă esențială pentru fundamentarea raportului preliminar de expertiză tehnică și pentru stabilirea capacității reale a construcției de a suporta intervențiile propuse. Rezultatele încercărilor de laborator permit validarea ipotezelor privind compoziția și performanța materialelor existente și reduc gradul de incertitudine privind starea structurală și amploarea probabilă a intervențiilor, informații necesare fundamentării investiției și estimării preliminare a costurilor.</w:t>
            </w:r>
          </w:p>
          <w:p w14:paraId="2F1CB5A3"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Spre deosebire de celelalte servicii, costul încercărilor de laborator nu poate fi estimat prin indicatori de tip €/mp sau ore de lucru, întrucât acesta depinde de: numărul și tipul elementelor investigate; posibilitățile reale de prelevare identificate în urma expertizei tehnice; tipul încercărilor solicitate (nedistructive și/sau distructive); numărul probelor analizate; tarifele practicate de laboratoarele autorizate pentru fiecare tip de încercare.</w:t>
            </w:r>
          </w:p>
          <w:p w14:paraId="7B70E941"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 xml:space="preserve">Având în vedere aceste variabile și pe baza ofertelor preliminare solicitate laboratoarelor de specialitate, pentru această etapă s-a prevăzut </w:t>
            </w:r>
            <w:r w:rsidRPr="0023664A">
              <w:rPr>
                <w:rFonts w:ascii="Arial Narrow" w:eastAsia="Arial Narrow" w:hAnsi="Arial Narrow" w:cs="Arial Narrow"/>
                <w:b/>
                <w:color w:val="000000"/>
              </w:rPr>
              <w:t>un buget estimativ de 7.500 euro + TVA</w:t>
            </w:r>
            <w:r w:rsidRPr="0023664A">
              <w:rPr>
                <w:rFonts w:ascii="Arial Narrow" w:eastAsia="Arial Narrow" w:hAnsi="Arial Narrow" w:cs="Arial Narrow"/>
                <w:color w:val="000000"/>
              </w:rPr>
              <w:t>, urmând ca natura și amploarea investigațiilor să fie confirmate după finalizarea expertizei tehnice și stabilirea programului de încercări.</w:t>
            </w:r>
          </w:p>
        </w:tc>
      </w:tr>
      <w:tr w:rsidR="00350420" w:rsidRPr="0023664A" w14:paraId="58FF0515" w14:textId="77777777" w:rsidTr="00093397">
        <w:trPr>
          <w:trHeight w:val="6165"/>
        </w:trPr>
        <w:tc>
          <w:tcPr>
            <w:tcW w:w="3160" w:type="dxa"/>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71EC34E0" w14:textId="77777777" w:rsidR="00350420" w:rsidRPr="0023664A" w:rsidRDefault="00350420" w:rsidP="00093397">
            <w:pPr>
              <w:keepNext/>
              <w:pBdr>
                <w:top w:val="nil"/>
                <w:left w:val="nil"/>
                <w:bottom w:val="nil"/>
                <w:right w:val="nil"/>
                <w:between w:val="nil"/>
              </w:pBdr>
              <w:rPr>
                <w:color w:val="000000"/>
                <w:sz w:val="20"/>
                <w:szCs w:val="20"/>
              </w:rPr>
            </w:pPr>
            <w:r w:rsidRPr="0023664A">
              <w:rPr>
                <w:rFonts w:ascii="Arial Narrow" w:eastAsia="Arial Narrow" w:hAnsi="Arial Narrow" w:cs="Arial Narrow"/>
                <w:b/>
                <w:color w:val="000000"/>
                <w:sz w:val="22"/>
                <w:szCs w:val="22"/>
              </w:rPr>
              <w:lastRenderedPageBreak/>
              <w:t>Studiu Geotehnic</w:t>
            </w:r>
          </w:p>
        </w:tc>
        <w:tc>
          <w:tcPr>
            <w:tcW w:w="6467" w:type="dxa"/>
            <w:gridSpan w:val="2"/>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0DB57069"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Studiul geotehnic are rolul de a caracteriza terenul de fundare și de a furniza informațiile necesare evaluării comportării construcțiilor existente și fundamentării intervențiilor structurale propuse. Rezultatele acestuia permit evaluarea condițiilor de fundare, identificarea eventualelor limitări geotehnice și stabilirea parametrilor preliminari necesari evaluării fezabilității intervențiilor și estimării amplorii acestora.</w:t>
            </w:r>
          </w:p>
          <w:p w14:paraId="04A62984"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Onorariul este fundamentat pe baza ofertei preliminare primite de la un operator economic autorizat și include toate activitățile necesare elaborării studiului geotehnic, respectiv: executarea unui foraj geotehnic cu adâncimea de până la 8 m, cu prelevarea de probe netulburate (până la adâncimea de 2 m, în terenuri coezive) și probe tulburate; executarea a două încercări de penetrare dinamică grea (DPSH) până la adâncimea de 10 m (în terenuri necoezive); măsurători și relevee ale fundațiilor existente; analize de laborator efectuate într-un laborator autorizat; interpretarea rezultatelor și elaborarea studiului geotehnic;</w:t>
            </w:r>
          </w:p>
          <w:p w14:paraId="7593575C"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deplasarea echipei de specialitate; verificarea documentației de către verificator de proiect atestat, conform legislației în vigoare.</w:t>
            </w:r>
          </w:p>
          <w:p w14:paraId="308B5D48"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 xml:space="preserve">Oferta </w:t>
            </w:r>
            <w:r w:rsidRPr="0023664A">
              <w:rPr>
                <w:rFonts w:ascii="Arial Narrow" w:eastAsia="Arial Narrow" w:hAnsi="Arial Narrow" w:cs="Arial Narrow"/>
                <w:b/>
                <w:color w:val="000000"/>
              </w:rPr>
              <w:t>nu include</w:t>
            </w:r>
            <w:r w:rsidRPr="0023664A">
              <w:rPr>
                <w:rFonts w:ascii="Arial Narrow" w:eastAsia="Arial Narrow" w:hAnsi="Arial Narrow" w:cs="Arial Narrow"/>
                <w:color w:val="000000"/>
              </w:rPr>
              <w:t xml:space="preserve"> executarea dezvelirilor fundațiilor, acestea revenind în sarcina beneficiarului.</w:t>
            </w:r>
          </w:p>
          <w:p w14:paraId="6D866C8B"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 xml:space="preserve">Valoarea estimată a serviciului este de </w:t>
            </w:r>
            <w:r w:rsidRPr="0023664A">
              <w:rPr>
                <w:rFonts w:ascii="Arial Narrow" w:eastAsia="Arial Narrow" w:hAnsi="Arial Narrow" w:cs="Arial Narrow"/>
                <w:b/>
                <w:color w:val="000000"/>
              </w:rPr>
              <w:t>1.300 euro + TVA</w:t>
            </w:r>
            <w:r w:rsidRPr="0023664A">
              <w:rPr>
                <w:rFonts w:ascii="Arial Narrow" w:eastAsia="Arial Narrow" w:hAnsi="Arial Narrow" w:cs="Arial Narrow"/>
                <w:color w:val="000000"/>
              </w:rPr>
              <w:t>, fiind fundamentată pe oferta preliminară primită și pe amploarea investigațiilor necesare în această etapă de fundamentare a investiției.</w:t>
            </w:r>
          </w:p>
        </w:tc>
      </w:tr>
      <w:tr w:rsidR="00350420" w:rsidRPr="0023664A" w14:paraId="65BBCD49" w14:textId="77777777" w:rsidTr="00093397">
        <w:trPr>
          <w:trHeight w:val="6165"/>
        </w:trPr>
        <w:tc>
          <w:tcPr>
            <w:tcW w:w="3160"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4A72E8BF" w14:textId="77777777" w:rsidR="00350420" w:rsidRPr="0023664A" w:rsidRDefault="00350420" w:rsidP="00093397">
            <w:pPr>
              <w:keepNext/>
              <w:pBdr>
                <w:top w:val="nil"/>
                <w:left w:val="nil"/>
                <w:bottom w:val="nil"/>
                <w:right w:val="nil"/>
                <w:between w:val="nil"/>
              </w:pBdr>
              <w:rPr>
                <w:color w:val="000000"/>
                <w:sz w:val="20"/>
                <w:szCs w:val="20"/>
              </w:rPr>
            </w:pPr>
            <w:r w:rsidRPr="0023664A">
              <w:rPr>
                <w:rFonts w:ascii="Arial Narrow" w:eastAsia="Arial Narrow" w:hAnsi="Arial Narrow" w:cs="Arial Narrow"/>
                <w:b/>
                <w:color w:val="000000"/>
                <w:sz w:val="22"/>
                <w:szCs w:val="22"/>
              </w:rPr>
              <w:t>Expertizare tehnică Cc, Ci</w:t>
            </w:r>
          </w:p>
        </w:tc>
        <w:tc>
          <w:tcPr>
            <w:tcW w:w="6467"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3557B35D"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 xml:space="preserve">Expertiza tehnică privind </w:t>
            </w:r>
            <w:r w:rsidRPr="0023664A">
              <w:rPr>
                <w:rFonts w:ascii="Arial Narrow" w:eastAsia="Arial Narrow" w:hAnsi="Arial Narrow" w:cs="Arial Narrow"/>
                <w:b/>
                <w:color w:val="000000"/>
              </w:rPr>
              <w:t xml:space="preserve">securitatea la incendiu a construcțiilor și instalațiilor (Cc, Ci) </w:t>
            </w:r>
            <w:r w:rsidRPr="0023664A">
              <w:rPr>
                <w:rFonts w:ascii="Arial Narrow" w:eastAsia="Arial Narrow" w:hAnsi="Arial Narrow" w:cs="Arial Narrow"/>
                <w:color w:val="000000"/>
              </w:rPr>
              <w:t>este necesară pentru evaluarea nivelului de conformare al ansamblului existent la cerințele legislației în vigoare și pentru identificarea principalelor condiționări generate de schimbarea de destinație a construcțiilor.</w:t>
            </w:r>
          </w:p>
          <w:p w14:paraId="0088D7AC"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Rezultatele expertizei permit: evaluarea conformării construcțiilor și instalațiilor existente la cerințele de securitate la incendiu; identificarea principalelor neconformități și a limitărilor funcționale; fundamentarea măsurilor necesare pentru adaptarea construcțiilor la noua funcțiune; stabilirea cerințelor preliminare privind compartimentarea la incendiu, evacuarea utilizatorilor, accesul forțelor de intervenție și echiparea cu instalații specifice de securitate la incendiu; identificarea măsurilor și condiționărilor preliminare cu impact asupra fezabilității, organizării funcționale și amplorii investiției.</w:t>
            </w:r>
          </w:p>
          <w:p w14:paraId="1CC68FA5"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b/>
                <w:color w:val="000000"/>
              </w:rPr>
              <w:t>Onorariul este estimat la aproximativ 1,25 euro/mp suprafață desfășurată</w:t>
            </w:r>
            <w:r w:rsidRPr="0023664A">
              <w:rPr>
                <w:rFonts w:ascii="Arial Narrow" w:eastAsia="Arial Narrow" w:hAnsi="Arial Narrow" w:cs="Arial Narrow"/>
                <w:color w:val="000000"/>
              </w:rPr>
              <w:t xml:space="preserve">, în baza ofertei preliminare primite de la un expert tehnic atestat pentru cerințele fundamentale </w:t>
            </w:r>
            <w:r w:rsidRPr="0023664A">
              <w:rPr>
                <w:rFonts w:ascii="Arial Narrow" w:eastAsia="Arial Narrow" w:hAnsi="Arial Narrow" w:cs="Arial Narrow"/>
                <w:b/>
                <w:color w:val="000000"/>
              </w:rPr>
              <w:t>Cc și Ci</w:t>
            </w:r>
            <w:r w:rsidRPr="0023664A">
              <w:rPr>
                <w:rFonts w:ascii="Arial Narrow" w:eastAsia="Arial Narrow" w:hAnsi="Arial Narrow" w:cs="Arial Narrow"/>
                <w:color w:val="000000"/>
              </w:rPr>
              <w:t>, și este raportat la suprafața construită desfășurată analizată.</w:t>
            </w:r>
          </w:p>
          <w:p w14:paraId="08815C3A"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Serviciul include analiza documentației existente, inspecția construcțiilor și instalațiilor, evaluarea gradului de conformare la cerințele de securitate la incendiu, identificarea principalelor neconformități și elaborarea raportului de expertiză tehnică.</w:t>
            </w:r>
          </w:p>
        </w:tc>
      </w:tr>
      <w:tr w:rsidR="00350420" w:rsidRPr="0023664A" w14:paraId="0D4ABB22" w14:textId="77777777" w:rsidTr="00093397">
        <w:trPr>
          <w:trHeight w:val="8405"/>
        </w:trPr>
        <w:tc>
          <w:tcPr>
            <w:tcW w:w="3160" w:type="dxa"/>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70BF5227" w14:textId="77777777" w:rsidR="00350420" w:rsidRPr="0023664A" w:rsidRDefault="00350420" w:rsidP="00093397">
            <w:pPr>
              <w:keepNext/>
              <w:pBdr>
                <w:top w:val="nil"/>
                <w:left w:val="nil"/>
                <w:bottom w:val="nil"/>
                <w:right w:val="nil"/>
                <w:between w:val="nil"/>
              </w:pBdr>
              <w:rPr>
                <w:color w:val="000000"/>
                <w:sz w:val="20"/>
                <w:szCs w:val="20"/>
              </w:rPr>
            </w:pPr>
            <w:r w:rsidRPr="0023664A">
              <w:rPr>
                <w:rFonts w:ascii="Arial Narrow" w:eastAsia="Arial Narrow" w:hAnsi="Arial Narrow" w:cs="Arial Narrow"/>
                <w:b/>
                <w:color w:val="000000"/>
                <w:sz w:val="22"/>
                <w:szCs w:val="22"/>
              </w:rPr>
              <w:lastRenderedPageBreak/>
              <w:t>Analiză preliminară privind securitatea la incendiu</w:t>
            </w:r>
          </w:p>
        </w:tc>
        <w:tc>
          <w:tcPr>
            <w:tcW w:w="6467" w:type="dxa"/>
            <w:gridSpan w:val="2"/>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76BFA896"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b/>
                <w:color w:val="000000"/>
              </w:rPr>
              <w:t>Analiza preliminară privind securitatea la incendiu</w:t>
            </w:r>
            <w:r w:rsidRPr="0023664A">
              <w:rPr>
                <w:rFonts w:ascii="Arial Narrow" w:eastAsia="Arial Narrow" w:hAnsi="Arial Narrow" w:cs="Arial Narrow"/>
                <w:color w:val="000000"/>
              </w:rPr>
              <w:t xml:space="preserve"> are rolul de a identifica încă din etapa de fundamentare a investiției principalele condiționări generate de cerințele de securitate la incendiu, astfel încât acestea să fie integrate în fundamentarea Temei de proiectare și în definirea parametrilor preliminari ai investiției.</w:t>
            </w:r>
          </w:p>
          <w:p w14:paraId="31B37D9A"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Analiza urmărește: evaluarea preliminară a compatibilității funcțiunilor propuse cu fondul construit existent; identificarea principalelor cerințe privind compartimentarea la incendiu, căile de evacuare și accesul forțelor de intervenție; evaluarea preliminară a necesității unor instalații specifice de securitate la incendiu; identificarea condiționărilor care pot influența organizarea funcțională și ocuparea pe niveluri; fundamentarea parametrilor funcționali și tehnici preliminari ai investiției, necesari elaborării Temei de proiectare și dezvoltării documentațiilor aferente etapelor subsecvente.</w:t>
            </w:r>
          </w:p>
          <w:p w14:paraId="4DE64134"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b/>
                <w:color w:val="000000"/>
              </w:rPr>
              <w:t>Onorariul este estimat la aproximativ 0,35 euro/mp suprafață construită desfășurată</w:t>
            </w:r>
            <w:r w:rsidRPr="0023664A">
              <w:rPr>
                <w:rFonts w:ascii="Arial Narrow" w:eastAsia="Arial Narrow" w:hAnsi="Arial Narrow" w:cs="Arial Narrow"/>
                <w:color w:val="000000"/>
              </w:rPr>
              <w:t xml:space="preserve">, fiind raportat la suprafața analizată și la complexitatea evaluării preliminare necesare în această etapă. </w:t>
            </w:r>
          </w:p>
          <w:p w14:paraId="156053F1" w14:textId="77777777" w:rsidR="00350420" w:rsidRPr="0023664A" w:rsidRDefault="00350420" w:rsidP="00093397">
            <w:pPr>
              <w:pBdr>
                <w:top w:val="nil"/>
                <w:left w:val="nil"/>
                <w:bottom w:val="nil"/>
                <w:right w:val="nil"/>
                <w:between w:val="nil"/>
              </w:pBdr>
              <w:rPr>
                <w:rFonts w:ascii="Arial Narrow" w:eastAsia="Arial Narrow" w:hAnsi="Arial Narrow" w:cs="Arial Narrow"/>
                <w:color w:val="000000"/>
              </w:rPr>
            </w:pPr>
            <w:r w:rsidRPr="0023664A">
              <w:rPr>
                <w:rFonts w:ascii="Arial Narrow" w:eastAsia="Arial Narrow" w:hAnsi="Arial Narrow" w:cs="Arial Narrow"/>
                <w:color w:val="000000"/>
              </w:rPr>
              <w:t>Serviciul include: analiza documentației existente; corelarea concluziilor expertizei tehnice privind securitatea la incendiu (Cc și Ci) cu funcțiunile propuse; consultanță de specialitate pentru fundamentarea parametrilor funcționali și tehnici preliminari ai investiției; evaluarea preliminară a impactului cerințelor P118 asupra organizării funcționale și a ocupării construcțiilor; participarea la workshop-uri de fundamentare împreună cu echipa de proiect și beneficiarul.</w:t>
            </w:r>
          </w:p>
          <w:p w14:paraId="2B80F52E"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Analiza nu are ca obiect elaborarea scenariului de securitate la incendiu aferent documentațiilor tehnice ulterioare, ci evaluarea preliminară a condiționărilor impuse de reglementările aplicabile, astfel încât fezabilitatea funcțională și amploarea probabilă a măsurilor de conformare să poată fi luate în considerare la fundamentarea Temei de proiectare.</w:t>
            </w:r>
          </w:p>
        </w:tc>
      </w:tr>
      <w:tr w:rsidR="00350420" w:rsidRPr="0023664A" w14:paraId="363B03FA" w14:textId="77777777" w:rsidTr="00093397">
        <w:trPr>
          <w:trHeight w:val="7565"/>
        </w:trPr>
        <w:tc>
          <w:tcPr>
            <w:tcW w:w="3160"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6F9BD87" w14:textId="77777777" w:rsidR="00350420" w:rsidRPr="0023664A" w:rsidRDefault="00350420" w:rsidP="00093397">
            <w:pPr>
              <w:keepNext/>
              <w:pBdr>
                <w:top w:val="nil"/>
                <w:left w:val="nil"/>
                <w:bottom w:val="nil"/>
                <w:right w:val="nil"/>
                <w:between w:val="nil"/>
              </w:pBdr>
              <w:rPr>
                <w:color w:val="000000"/>
                <w:sz w:val="20"/>
                <w:szCs w:val="20"/>
              </w:rPr>
            </w:pPr>
            <w:r w:rsidRPr="0023664A">
              <w:rPr>
                <w:rFonts w:ascii="Arial Narrow" w:eastAsia="Arial Narrow" w:hAnsi="Arial Narrow" w:cs="Arial Narrow"/>
                <w:b/>
                <w:color w:val="000000"/>
                <w:sz w:val="22"/>
                <w:szCs w:val="22"/>
              </w:rPr>
              <w:lastRenderedPageBreak/>
              <w:t>Studiu topografic</w:t>
            </w:r>
          </w:p>
        </w:tc>
        <w:tc>
          <w:tcPr>
            <w:tcW w:w="6467"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35E8A408"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Studiul topografic este necesar pentru determinarea cu precizie a limitelor proprietății, a configurației terenului și a relației dintre construcțiile existente și infrastructura edilitară. Acesta constituie suportul tehnic pentru analiza amplasamentului, verificarea datelor cadastrale existente, integrarea construcțiilor în contextul urban și fundamentarea datelor privind amplasamentul și condiționărilor acestuia, necesare fundamentării Temei de proiectare și etapelor ulterioare de proiectare.</w:t>
            </w:r>
          </w:p>
          <w:p w14:paraId="38E9A564"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Rezultatele studiului permit: verificarea și reprezentarea limitelor proprietății; determinarea configurației terenului și a elementelor existente; localizarea construcțiilor și a principalelor elemente de infrastructură; corelarea documentației cadastrale cu situația reală din teren; elaborarea planului topografic necesar etapelor ulterioare de proiectare și avizare.</w:t>
            </w:r>
          </w:p>
          <w:p w14:paraId="767AC90A"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Onorariul este fundamentat pe baza ofertei preliminare primite de la un operator economic autorizat și este estimat în funcție de suprafața investigată, complexitatea amplasamentului și volumul măsurătorilor necesare.</w:t>
            </w:r>
          </w:p>
          <w:p w14:paraId="5F7F6B0F"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Serviciul include: măsurători topografice clasice utilizând tehnologie GNSS și Stație Totală; prelucrarea datelor și elaborarea planului topografic; deplasarea echipei de specialitate; predarea documentației în format digital. Valoarea estimată pentru realizarea planului topografic este de 2400 euro+TVA, în funcție de condițiile din teren și de accesibilitatea zonelor ce urmează a fi măsurate. În cazul amplasamentului analizat, existența vegetației în partea de sud poate conduce la creșterea volumului de măsurători și implicit a costului serviciului.</w:t>
            </w:r>
          </w:p>
        </w:tc>
      </w:tr>
      <w:tr w:rsidR="00350420" w:rsidRPr="0023664A" w14:paraId="0AE6EEEC" w14:textId="77777777" w:rsidTr="00093397">
        <w:trPr>
          <w:trHeight w:val="4205"/>
        </w:trPr>
        <w:tc>
          <w:tcPr>
            <w:tcW w:w="3160" w:type="dxa"/>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11146C62" w14:textId="77777777" w:rsidR="00350420" w:rsidRPr="0023664A" w:rsidRDefault="00350420" w:rsidP="00093397">
            <w:pPr>
              <w:keepNext/>
              <w:pBdr>
                <w:top w:val="nil"/>
                <w:left w:val="nil"/>
                <w:bottom w:val="nil"/>
                <w:right w:val="nil"/>
                <w:between w:val="nil"/>
              </w:pBdr>
              <w:rPr>
                <w:color w:val="000000"/>
                <w:sz w:val="20"/>
                <w:szCs w:val="20"/>
              </w:rPr>
            </w:pPr>
            <w:r w:rsidRPr="0023664A">
              <w:rPr>
                <w:rFonts w:ascii="Arial Narrow" w:eastAsia="Arial Narrow" w:hAnsi="Arial Narrow" w:cs="Arial Narrow"/>
                <w:b/>
                <w:color w:val="000000"/>
                <w:sz w:val="22"/>
                <w:szCs w:val="22"/>
              </w:rPr>
              <w:t>Fundamentare și elaborare documentație-suport pentru Tema de proiectarelă</w:t>
            </w:r>
          </w:p>
        </w:tc>
        <w:tc>
          <w:tcPr>
            <w:tcW w:w="6467" w:type="dxa"/>
            <w:gridSpan w:val="2"/>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578EA7EB"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Activitatea reprezintă componenta integratoare a prezentei etape și urmărește corelarea rezultatelor studiilor, expertizelor, investigațiilor și analizelor preliminare cu obiectivele investiției și informațiile furnizate de beneficiar, în vederea fundamentării Temei de proiectare conform HG nr. 907/2016.</w:t>
            </w:r>
          </w:p>
          <w:p w14:paraId="16CCC4AE"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Serviciul presupune analiza și integrarea tuturor informațiilor disponibile, coordonarea interdisciplinară între specialități, organizarea și participarea la workshop-uri cu beneficiarul și factorii interesați, analiza preliminară a programului funcțional, identificarea principalelor condiționări și oportunități ale fondului construit, estimarea preliminară a amplorii investiției și structurarea informațiilor conform conținutului-cadru al Temei de proiectare.</w:t>
            </w:r>
          </w:p>
          <w:p w14:paraId="48A206AD"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 xml:space="preserve">Estimarea onorariului are la bază un volum de aproximativ 70 de ore de activități de analiză, coordonare interdisciplinară, consultanță și sinteză necesare elaborării documentației-suport. </w:t>
            </w:r>
          </w:p>
        </w:tc>
      </w:tr>
      <w:tr w:rsidR="00350420" w:rsidRPr="0023664A" w14:paraId="6AF5636C" w14:textId="77777777" w:rsidTr="00093397">
        <w:trPr>
          <w:trHeight w:val="295"/>
        </w:trPr>
        <w:tc>
          <w:tcPr>
            <w:tcW w:w="3160"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58687F91" w14:textId="77777777" w:rsidR="00350420" w:rsidRPr="0023664A" w:rsidRDefault="00350420" w:rsidP="00093397"/>
        </w:tc>
        <w:tc>
          <w:tcPr>
            <w:tcW w:w="6467"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3BF2C17B" w14:textId="77777777" w:rsidR="00350420" w:rsidRPr="0023664A" w:rsidRDefault="00350420" w:rsidP="00093397"/>
        </w:tc>
      </w:tr>
      <w:tr w:rsidR="00350420" w14:paraId="3D67E148" w14:textId="77777777" w:rsidTr="00093397">
        <w:trPr>
          <w:trHeight w:val="295"/>
        </w:trPr>
        <w:tc>
          <w:tcPr>
            <w:tcW w:w="7220" w:type="dxa"/>
            <w:gridSpan w:val="2"/>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62F41AF9" w14:textId="77777777" w:rsidR="00350420" w:rsidRPr="0023664A"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color w:val="000000"/>
              </w:rPr>
              <w:t>Valoarea estimată a serviciilor de consultanță și studii preliminare:</w:t>
            </w:r>
          </w:p>
        </w:tc>
        <w:tc>
          <w:tcPr>
            <w:tcW w:w="2407" w:type="dxa"/>
            <w:tcBorders>
              <w:top w:val="dotted" w:sz="4" w:space="0" w:color="000000"/>
              <w:left w:val="dotted" w:sz="4" w:space="0" w:color="000000"/>
              <w:bottom w:val="dotted" w:sz="4" w:space="0" w:color="000000"/>
              <w:right w:val="dotted" w:sz="4" w:space="0" w:color="000000"/>
            </w:tcBorders>
            <w:shd w:val="clear" w:color="auto" w:fill="EEEEEE"/>
            <w:tcMar>
              <w:top w:w="80" w:type="dxa"/>
              <w:left w:w="80" w:type="dxa"/>
              <w:bottom w:w="80" w:type="dxa"/>
              <w:right w:w="80" w:type="dxa"/>
            </w:tcMar>
          </w:tcPr>
          <w:p w14:paraId="49BB9C4C" w14:textId="77777777" w:rsidR="00350420" w:rsidRDefault="00350420" w:rsidP="00093397">
            <w:pPr>
              <w:pBdr>
                <w:top w:val="nil"/>
                <w:left w:val="nil"/>
                <w:bottom w:val="nil"/>
                <w:right w:val="nil"/>
                <w:between w:val="nil"/>
              </w:pBdr>
              <w:rPr>
                <w:color w:val="000000"/>
                <w:sz w:val="20"/>
                <w:szCs w:val="20"/>
              </w:rPr>
            </w:pPr>
            <w:r w:rsidRPr="0023664A">
              <w:rPr>
                <w:rFonts w:ascii="Arial Narrow" w:eastAsia="Arial Narrow" w:hAnsi="Arial Narrow" w:cs="Arial Narrow"/>
                <w:b/>
                <w:color w:val="000000"/>
              </w:rPr>
              <w:t>50900</w:t>
            </w:r>
            <w:r w:rsidRPr="0023664A">
              <w:rPr>
                <w:rFonts w:ascii="Arial Narrow" w:eastAsia="Arial Narrow" w:hAnsi="Arial Narrow" w:cs="Arial Narrow"/>
                <w:color w:val="000000"/>
              </w:rPr>
              <w:t xml:space="preserve"> euro + TVA</w:t>
            </w:r>
          </w:p>
        </w:tc>
      </w:tr>
    </w:tbl>
    <w:p w14:paraId="7974DC3B" w14:textId="77777777" w:rsidR="00530629" w:rsidRPr="007D1C9E" w:rsidRDefault="00530629" w:rsidP="00350420">
      <w:pPr>
        <w:keepNext/>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color w:val="000000"/>
        </w:rPr>
      </w:pPr>
    </w:p>
    <w:sectPr w:rsidR="00530629" w:rsidRPr="007D1C9E">
      <w:headerReference w:type="even" r:id="rId7"/>
      <w:headerReference w:type="default" r:id="rId8"/>
      <w:footerReference w:type="even" r:id="rId9"/>
      <w:footerReference w:type="default" r:id="rId10"/>
      <w:pgSz w:w="11900" w:h="16840"/>
      <w:pgMar w:top="567" w:right="1134" w:bottom="567"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936EC" w14:textId="77777777" w:rsidR="00F4719C" w:rsidRDefault="00F4719C">
      <w:r>
        <w:separator/>
      </w:r>
    </w:p>
  </w:endnote>
  <w:endnote w:type="continuationSeparator" w:id="0">
    <w:p w14:paraId="7F3D9C79" w14:textId="77777777" w:rsidR="00F4719C" w:rsidRDefault="00F47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Neue">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C32A" w14:textId="77777777" w:rsidR="00530629" w:rsidRDefault="00AD04BF">
    <w:pPr>
      <w:pBdr>
        <w:top w:val="nil"/>
        <w:left w:val="nil"/>
        <w:bottom w:val="nil"/>
        <w:right w:val="nil"/>
        <w:between w:val="nil"/>
      </w:pBdr>
      <w:tabs>
        <w:tab w:val="right" w:pos="9632"/>
        <w:tab w:val="right" w:pos="9612"/>
      </w:tabs>
      <w:jc w:val="center"/>
      <w:rPr>
        <w:rFonts w:ascii="Helvetica Neue" w:eastAsia="Helvetica Neue" w:hAnsi="Helvetica Neue" w:cs="Helvetica Neue"/>
        <w:color w:val="000000"/>
        <w:sz w:val="20"/>
        <w:szCs w:val="20"/>
      </w:rPr>
    </w:pPr>
    <w:r>
      <w:rPr>
        <w:rFonts w:ascii="Arial Narrow" w:eastAsia="Arial Narrow" w:hAnsi="Arial Narrow" w:cs="Arial Narrow"/>
        <w:color w:val="000000"/>
        <w:sz w:val="20"/>
        <w:szCs w:val="20"/>
      </w:rPr>
      <w:t>pag.</w:t>
    </w: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sidR="001A6FE7">
      <w:rPr>
        <w:rFonts w:ascii="Arial Narrow" w:eastAsia="Arial Narrow" w:hAnsi="Arial Narrow" w:cs="Arial Narrow"/>
        <w:noProof/>
        <w:color w:val="000000"/>
        <w:sz w:val="20"/>
        <w:szCs w:val="20"/>
      </w:rPr>
      <w:t>6</w:t>
    </w:r>
    <w:r>
      <w:rPr>
        <w:rFonts w:ascii="Arial Narrow" w:eastAsia="Arial Narrow" w:hAnsi="Arial Narrow" w:cs="Arial Narrow"/>
        <w:color w:val="000000"/>
        <w:sz w:val="20"/>
        <w:szCs w:val="20"/>
      </w:rPr>
      <w:fldChar w:fldCharType="end"/>
    </w:r>
    <w:r>
      <w:rPr>
        <w:rFonts w:ascii="Arial Narrow" w:eastAsia="Arial Narrow" w:hAnsi="Arial Narrow" w:cs="Arial Narrow"/>
        <w:color w:val="000000"/>
        <w:sz w:val="20"/>
        <w:szCs w:val="20"/>
      </w:rPr>
      <w:t xml:space="preserve"> din </w:t>
    </w: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NUMPAGES</w:instrText>
    </w:r>
    <w:r>
      <w:rPr>
        <w:rFonts w:ascii="Arial Narrow" w:eastAsia="Arial Narrow" w:hAnsi="Arial Narrow" w:cs="Arial Narrow"/>
        <w:color w:val="000000"/>
        <w:sz w:val="20"/>
        <w:szCs w:val="20"/>
      </w:rPr>
      <w:fldChar w:fldCharType="separate"/>
    </w:r>
    <w:r w:rsidR="001A6FE7">
      <w:rPr>
        <w:rFonts w:ascii="Arial Narrow" w:eastAsia="Arial Narrow" w:hAnsi="Arial Narrow" w:cs="Arial Narrow"/>
        <w:noProof/>
        <w:color w:val="000000"/>
        <w:sz w:val="20"/>
        <w:szCs w:val="20"/>
      </w:rPr>
      <w:t>9</w:t>
    </w:r>
    <w:r>
      <w:rPr>
        <w:rFonts w:ascii="Arial Narrow" w:eastAsia="Arial Narrow" w:hAnsi="Arial Narrow" w:cs="Arial Narrow"/>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F350" w14:textId="77777777" w:rsidR="00530629" w:rsidRDefault="00AD04BF">
    <w:pPr>
      <w:pBdr>
        <w:top w:val="nil"/>
        <w:left w:val="nil"/>
        <w:bottom w:val="nil"/>
        <w:right w:val="nil"/>
        <w:between w:val="nil"/>
      </w:pBdr>
      <w:tabs>
        <w:tab w:val="right" w:pos="9632"/>
        <w:tab w:val="right" w:pos="9612"/>
      </w:tabs>
      <w:jc w:val="center"/>
      <w:rPr>
        <w:rFonts w:ascii="Helvetica Neue" w:eastAsia="Helvetica Neue" w:hAnsi="Helvetica Neue" w:cs="Helvetica Neue"/>
        <w:color w:val="000000"/>
        <w:sz w:val="20"/>
        <w:szCs w:val="20"/>
      </w:rPr>
    </w:pPr>
    <w:r>
      <w:rPr>
        <w:rFonts w:ascii="Arial Narrow" w:eastAsia="Arial Narrow" w:hAnsi="Arial Narrow" w:cs="Arial Narrow"/>
        <w:color w:val="000000"/>
        <w:sz w:val="20"/>
        <w:szCs w:val="20"/>
      </w:rPr>
      <w:t>pag.</w:t>
    </w: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sidR="001A6FE7">
      <w:rPr>
        <w:rFonts w:ascii="Arial Narrow" w:eastAsia="Arial Narrow" w:hAnsi="Arial Narrow" w:cs="Arial Narrow"/>
        <w:noProof/>
        <w:color w:val="000000"/>
        <w:sz w:val="20"/>
        <w:szCs w:val="20"/>
      </w:rPr>
      <w:t>5</w:t>
    </w:r>
    <w:r>
      <w:rPr>
        <w:rFonts w:ascii="Arial Narrow" w:eastAsia="Arial Narrow" w:hAnsi="Arial Narrow" w:cs="Arial Narrow"/>
        <w:color w:val="000000"/>
        <w:sz w:val="20"/>
        <w:szCs w:val="20"/>
      </w:rPr>
      <w:fldChar w:fldCharType="end"/>
    </w:r>
    <w:r>
      <w:rPr>
        <w:rFonts w:ascii="Arial Narrow" w:eastAsia="Arial Narrow" w:hAnsi="Arial Narrow" w:cs="Arial Narrow"/>
        <w:color w:val="000000"/>
        <w:sz w:val="20"/>
        <w:szCs w:val="20"/>
      </w:rPr>
      <w:t xml:space="preserve"> din </w:t>
    </w: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NUMPAGES</w:instrText>
    </w:r>
    <w:r>
      <w:rPr>
        <w:rFonts w:ascii="Arial Narrow" w:eastAsia="Arial Narrow" w:hAnsi="Arial Narrow" w:cs="Arial Narrow"/>
        <w:color w:val="000000"/>
        <w:sz w:val="20"/>
        <w:szCs w:val="20"/>
      </w:rPr>
      <w:fldChar w:fldCharType="separate"/>
    </w:r>
    <w:r w:rsidR="001A6FE7">
      <w:rPr>
        <w:rFonts w:ascii="Arial Narrow" w:eastAsia="Arial Narrow" w:hAnsi="Arial Narrow" w:cs="Arial Narrow"/>
        <w:noProof/>
        <w:color w:val="000000"/>
        <w:sz w:val="20"/>
        <w:szCs w:val="20"/>
      </w:rPr>
      <w:t>9</w:t>
    </w:r>
    <w:r>
      <w:rPr>
        <w:rFonts w:ascii="Arial Narrow" w:eastAsia="Arial Narrow" w:hAnsi="Arial Narrow" w:cs="Arial Narrow"/>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C7591" w14:textId="77777777" w:rsidR="00F4719C" w:rsidRDefault="00F4719C">
      <w:r>
        <w:separator/>
      </w:r>
    </w:p>
  </w:footnote>
  <w:footnote w:type="continuationSeparator" w:id="0">
    <w:p w14:paraId="25051968" w14:textId="77777777" w:rsidR="00F4719C" w:rsidRDefault="00F47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9DB1" w14:textId="77777777" w:rsidR="00530629" w:rsidRDefault="00530629">
    <w:pPr>
      <w:pBdr>
        <w:top w:val="nil"/>
        <w:left w:val="nil"/>
        <w:bottom w:val="nil"/>
        <w:right w:val="nil"/>
        <w:between w:val="nil"/>
      </w:pBdr>
      <w:tabs>
        <w:tab w:val="right" w:pos="9632"/>
        <w:tab w:val="right" w:pos="9612"/>
      </w:tabs>
      <w:jc w:val="center"/>
      <w:rPr>
        <w:rFonts w:ascii="Helvetica Neue" w:eastAsia="Helvetica Neue" w:hAnsi="Helvetica Neue" w:cs="Helvetica Neue"/>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DE48" w14:textId="77777777" w:rsidR="00530629" w:rsidRDefault="00530629">
    <w:pPr>
      <w:pBdr>
        <w:top w:val="nil"/>
        <w:left w:val="nil"/>
        <w:bottom w:val="nil"/>
        <w:right w:val="nil"/>
        <w:between w:val="nil"/>
      </w:pBdr>
      <w:tabs>
        <w:tab w:val="right" w:pos="9632"/>
        <w:tab w:val="right" w:pos="9612"/>
      </w:tabs>
      <w:jc w:val="center"/>
      <w:rPr>
        <w:rFonts w:ascii="Helvetica Neue" w:eastAsia="Helvetica Neue" w:hAnsi="Helvetica Neue" w:cs="Helvetica Neue"/>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161"/>
    <w:multiLevelType w:val="multilevel"/>
    <w:tmpl w:val="10A4A2B2"/>
    <w:lvl w:ilvl="0">
      <w:start w:val="2"/>
      <w:numFmt w:val="decimal"/>
      <w:lvlText w:val="%1."/>
      <w:lvlJc w:val="left"/>
      <w:pPr>
        <w:ind w:left="220" w:hanging="220"/>
      </w:pPr>
      <w:rPr>
        <w:b/>
        <w:smallCaps w:val="0"/>
        <w:strike w:val="0"/>
        <w:shd w:val="clear" w:color="auto" w:fill="auto"/>
        <w:vertAlign w:val="baseline"/>
      </w:rPr>
    </w:lvl>
    <w:lvl w:ilvl="1">
      <w:start w:val="1"/>
      <w:numFmt w:val="lowerLetter"/>
      <w:lvlText w:val="%2."/>
      <w:lvlJc w:val="left"/>
      <w:pPr>
        <w:ind w:left="580" w:hanging="220"/>
      </w:pPr>
      <w:rPr>
        <w:b/>
        <w:smallCaps w:val="0"/>
        <w:strike w:val="0"/>
        <w:shd w:val="clear" w:color="auto" w:fill="auto"/>
        <w:vertAlign w:val="baseline"/>
      </w:rPr>
    </w:lvl>
    <w:lvl w:ilvl="2">
      <w:start w:val="1"/>
      <w:numFmt w:val="lowerRoman"/>
      <w:lvlText w:val="%3."/>
      <w:lvlJc w:val="left"/>
      <w:pPr>
        <w:ind w:left="940" w:hanging="220"/>
      </w:pPr>
      <w:rPr>
        <w:b/>
        <w:smallCaps w:val="0"/>
        <w:strike w:val="0"/>
        <w:shd w:val="clear" w:color="auto" w:fill="auto"/>
        <w:vertAlign w:val="baseline"/>
      </w:rPr>
    </w:lvl>
    <w:lvl w:ilvl="3">
      <w:start w:val="1"/>
      <w:numFmt w:val="decimal"/>
      <w:lvlText w:val="%4."/>
      <w:lvlJc w:val="left"/>
      <w:pPr>
        <w:ind w:left="1300" w:hanging="220"/>
      </w:pPr>
      <w:rPr>
        <w:b/>
        <w:smallCaps w:val="0"/>
        <w:strike w:val="0"/>
        <w:shd w:val="clear" w:color="auto" w:fill="auto"/>
        <w:vertAlign w:val="baseline"/>
      </w:rPr>
    </w:lvl>
    <w:lvl w:ilvl="4">
      <w:start w:val="1"/>
      <w:numFmt w:val="lowerLetter"/>
      <w:lvlText w:val="%5."/>
      <w:lvlJc w:val="left"/>
      <w:pPr>
        <w:ind w:left="1660" w:hanging="220"/>
      </w:pPr>
      <w:rPr>
        <w:b/>
        <w:smallCaps w:val="0"/>
        <w:strike w:val="0"/>
        <w:shd w:val="clear" w:color="auto" w:fill="auto"/>
        <w:vertAlign w:val="baseline"/>
      </w:rPr>
    </w:lvl>
    <w:lvl w:ilvl="5">
      <w:start w:val="1"/>
      <w:numFmt w:val="lowerRoman"/>
      <w:lvlText w:val="%6."/>
      <w:lvlJc w:val="left"/>
      <w:pPr>
        <w:ind w:left="2020" w:hanging="220"/>
      </w:pPr>
      <w:rPr>
        <w:b/>
        <w:smallCaps w:val="0"/>
        <w:strike w:val="0"/>
        <w:shd w:val="clear" w:color="auto" w:fill="auto"/>
        <w:vertAlign w:val="baseline"/>
      </w:rPr>
    </w:lvl>
    <w:lvl w:ilvl="6">
      <w:start w:val="1"/>
      <w:numFmt w:val="decimal"/>
      <w:lvlText w:val="%7."/>
      <w:lvlJc w:val="left"/>
      <w:pPr>
        <w:ind w:left="2380" w:hanging="220"/>
      </w:pPr>
      <w:rPr>
        <w:b/>
        <w:smallCaps w:val="0"/>
        <w:strike w:val="0"/>
        <w:shd w:val="clear" w:color="auto" w:fill="auto"/>
        <w:vertAlign w:val="baseline"/>
      </w:rPr>
    </w:lvl>
    <w:lvl w:ilvl="7">
      <w:start w:val="1"/>
      <w:numFmt w:val="lowerLetter"/>
      <w:lvlText w:val="%8."/>
      <w:lvlJc w:val="left"/>
      <w:pPr>
        <w:ind w:left="2740" w:hanging="220"/>
      </w:pPr>
      <w:rPr>
        <w:b/>
        <w:smallCaps w:val="0"/>
        <w:strike w:val="0"/>
        <w:shd w:val="clear" w:color="auto" w:fill="auto"/>
        <w:vertAlign w:val="baseline"/>
      </w:rPr>
    </w:lvl>
    <w:lvl w:ilvl="8">
      <w:start w:val="1"/>
      <w:numFmt w:val="lowerRoman"/>
      <w:lvlText w:val="%9."/>
      <w:lvlJc w:val="left"/>
      <w:pPr>
        <w:ind w:left="3100" w:hanging="220"/>
      </w:pPr>
      <w:rPr>
        <w:b/>
        <w:smallCaps w:val="0"/>
        <w:strike w:val="0"/>
        <w:shd w:val="clear" w:color="auto" w:fill="auto"/>
        <w:vertAlign w:val="baseline"/>
      </w:rPr>
    </w:lvl>
  </w:abstractNum>
  <w:abstractNum w:abstractNumId="1" w15:restartNumberingAfterBreak="0">
    <w:nsid w:val="27CE47B4"/>
    <w:multiLevelType w:val="multilevel"/>
    <w:tmpl w:val="07C4676C"/>
    <w:lvl w:ilvl="0">
      <w:start w:val="2"/>
      <w:numFmt w:val="decimal"/>
      <w:lvlText w:val="%1."/>
      <w:lvlJc w:val="left"/>
      <w:pPr>
        <w:ind w:left="220" w:hanging="220"/>
      </w:pPr>
      <w:rPr>
        <w:b/>
        <w:smallCaps w:val="0"/>
        <w:strike w:val="0"/>
        <w:shd w:val="clear" w:color="auto" w:fill="auto"/>
        <w:vertAlign w:val="baseline"/>
      </w:rPr>
    </w:lvl>
    <w:lvl w:ilvl="1">
      <w:start w:val="1"/>
      <w:numFmt w:val="lowerLetter"/>
      <w:lvlText w:val="%2."/>
      <w:lvlJc w:val="left"/>
      <w:pPr>
        <w:ind w:left="580" w:hanging="220"/>
      </w:pPr>
      <w:rPr>
        <w:b/>
        <w:smallCaps w:val="0"/>
        <w:strike w:val="0"/>
        <w:shd w:val="clear" w:color="auto" w:fill="auto"/>
        <w:vertAlign w:val="baseline"/>
      </w:rPr>
    </w:lvl>
    <w:lvl w:ilvl="2">
      <w:start w:val="1"/>
      <w:numFmt w:val="lowerRoman"/>
      <w:lvlText w:val="%3."/>
      <w:lvlJc w:val="left"/>
      <w:pPr>
        <w:ind w:left="940" w:hanging="220"/>
      </w:pPr>
      <w:rPr>
        <w:b/>
        <w:smallCaps w:val="0"/>
        <w:strike w:val="0"/>
        <w:shd w:val="clear" w:color="auto" w:fill="auto"/>
        <w:vertAlign w:val="baseline"/>
      </w:rPr>
    </w:lvl>
    <w:lvl w:ilvl="3">
      <w:start w:val="1"/>
      <w:numFmt w:val="decimal"/>
      <w:lvlText w:val="%4."/>
      <w:lvlJc w:val="left"/>
      <w:pPr>
        <w:ind w:left="1300" w:hanging="220"/>
      </w:pPr>
      <w:rPr>
        <w:b/>
        <w:smallCaps w:val="0"/>
        <w:strike w:val="0"/>
        <w:shd w:val="clear" w:color="auto" w:fill="auto"/>
        <w:vertAlign w:val="baseline"/>
      </w:rPr>
    </w:lvl>
    <w:lvl w:ilvl="4">
      <w:start w:val="1"/>
      <w:numFmt w:val="lowerLetter"/>
      <w:lvlText w:val="%5."/>
      <w:lvlJc w:val="left"/>
      <w:pPr>
        <w:ind w:left="1660" w:hanging="220"/>
      </w:pPr>
      <w:rPr>
        <w:b/>
        <w:smallCaps w:val="0"/>
        <w:strike w:val="0"/>
        <w:shd w:val="clear" w:color="auto" w:fill="auto"/>
        <w:vertAlign w:val="baseline"/>
      </w:rPr>
    </w:lvl>
    <w:lvl w:ilvl="5">
      <w:start w:val="1"/>
      <w:numFmt w:val="lowerRoman"/>
      <w:lvlText w:val="%6."/>
      <w:lvlJc w:val="left"/>
      <w:pPr>
        <w:ind w:left="2020" w:hanging="220"/>
      </w:pPr>
      <w:rPr>
        <w:b/>
        <w:smallCaps w:val="0"/>
        <w:strike w:val="0"/>
        <w:shd w:val="clear" w:color="auto" w:fill="auto"/>
        <w:vertAlign w:val="baseline"/>
      </w:rPr>
    </w:lvl>
    <w:lvl w:ilvl="6">
      <w:start w:val="1"/>
      <w:numFmt w:val="decimal"/>
      <w:lvlText w:val="%7."/>
      <w:lvlJc w:val="left"/>
      <w:pPr>
        <w:ind w:left="2380" w:hanging="220"/>
      </w:pPr>
      <w:rPr>
        <w:b/>
        <w:smallCaps w:val="0"/>
        <w:strike w:val="0"/>
        <w:shd w:val="clear" w:color="auto" w:fill="auto"/>
        <w:vertAlign w:val="baseline"/>
      </w:rPr>
    </w:lvl>
    <w:lvl w:ilvl="7">
      <w:start w:val="1"/>
      <w:numFmt w:val="lowerLetter"/>
      <w:lvlText w:val="%8."/>
      <w:lvlJc w:val="left"/>
      <w:pPr>
        <w:ind w:left="2740" w:hanging="220"/>
      </w:pPr>
      <w:rPr>
        <w:b/>
        <w:smallCaps w:val="0"/>
        <w:strike w:val="0"/>
        <w:shd w:val="clear" w:color="auto" w:fill="auto"/>
        <w:vertAlign w:val="baseline"/>
      </w:rPr>
    </w:lvl>
    <w:lvl w:ilvl="8">
      <w:start w:val="1"/>
      <w:numFmt w:val="lowerRoman"/>
      <w:lvlText w:val="%9."/>
      <w:lvlJc w:val="left"/>
      <w:pPr>
        <w:ind w:left="3100" w:hanging="220"/>
      </w:pPr>
      <w:rPr>
        <w:b/>
        <w:smallCaps w:val="0"/>
        <w:strike w:val="0"/>
        <w:shd w:val="clear" w:color="auto" w:fill="auto"/>
        <w:vertAlign w:val="baseline"/>
      </w:rPr>
    </w:lvl>
  </w:abstractNum>
  <w:num w:numId="1" w16cid:durableId="585304682">
    <w:abstractNumId w:val="1"/>
  </w:num>
  <w:num w:numId="2" w16cid:durableId="1754204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629"/>
    <w:rsid w:val="001A6FE7"/>
    <w:rsid w:val="00316787"/>
    <w:rsid w:val="00350420"/>
    <w:rsid w:val="00394D71"/>
    <w:rsid w:val="0041703B"/>
    <w:rsid w:val="00530629"/>
    <w:rsid w:val="007763FF"/>
    <w:rsid w:val="007D1C9E"/>
    <w:rsid w:val="00A001B1"/>
    <w:rsid w:val="00AD04BF"/>
    <w:rsid w:val="00F47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BA830"/>
  <w15:docId w15:val="{2BEC19E3-EED1-4121-B38D-8C9AAE4F0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4006</Words>
  <Characters>22836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simonapatac</dc:creator>
  <cp:lastModifiedBy>anielapurcar@amnv.local</cp:lastModifiedBy>
  <cp:revision>4</cp:revision>
  <dcterms:created xsi:type="dcterms:W3CDTF">2026-08-07T13:03:00Z</dcterms:created>
  <dcterms:modified xsi:type="dcterms:W3CDTF">2026-08-11T13:15:00Z</dcterms:modified>
</cp:coreProperties>
</file>