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577" w:rsidRPr="009574F1" w:rsidRDefault="00643577" w:rsidP="00643577">
      <w:pPr>
        <w:keepNext/>
        <w:spacing w:after="0" w:line="240" w:lineRule="auto"/>
        <w:jc w:val="both"/>
        <w:outlineLvl w:val="1"/>
        <w:rPr>
          <w:rFonts w:ascii="Trebuchet MS" w:eastAsia="Times New Roman" w:hAnsi="Trebuchet MS" w:cs="Times New Roman"/>
          <w:b/>
          <w:noProof w:val="0"/>
          <w:sz w:val="20"/>
          <w:szCs w:val="20"/>
        </w:rPr>
      </w:pPr>
      <w:bookmarkStart w:id="0" w:name="_Toc468952565"/>
    </w:p>
    <w:p w:rsidR="0018389D" w:rsidRPr="009F3A9E" w:rsidRDefault="0018389D" w:rsidP="0018389D">
      <w:pPr>
        <w:jc w:val="center"/>
        <w:rPr>
          <w:rFonts w:cs="Arial"/>
          <w:b/>
          <w:bCs/>
          <w:caps/>
        </w:rPr>
      </w:pPr>
      <w:r w:rsidRPr="009F3A9E">
        <w:rPr>
          <w:rFonts w:cs="Arial"/>
          <w:b/>
          <w:bCs/>
          <w:caps/>
        </w:rPr>
        <w:t xml:space="preserve">CLAUZE SPECIFICE </w:t>
      </w:r>
      <w:r>
        <w:rPr>
          <w:rFonts w:ascii="Calibri" w:hAnsi="Calibri" w:cs="Arial"/>
          <w:b/>
          <w:bCs/>
          <w:caps/>
        </w:rPr>
        <w:t>Obiectivului specific 3.2</w:t>
      </w:r>
      <w:r w:rsidRPr="009F3A9E">
        <w:rPr>
          <w:rFonts w:cs="Arial"/>
          <w:b/>
          <w:bCs/>
          <w:caps/>
        </w:rPr>
        <w:t xml:space="preserve"> </w:t>
      </w:r>
    </w:p>
    <w:p w:rsidR="0018389D" w:rsidRPr="009F3A9E" w:rsidRDefault="0018389D" w:rsidP="0018389D">
      <w:pPr>
        <w:jc w:val="center"/>
        <w:rPr>
          <w:rFonts w:cs="Arial"/>
          <w:b/>
          <w:bCs/>
          <w:caps/>
        </w:rPr>
      </w:pPr>
      <w:r w:rsidRPr="009F3A9E">
        <w:rPr>
          <w:rFonts w:cs="Arial"/>
          <w:b/>
          <w:bCs/>
          <w:caps/>
        </w:rPr>
        <w:t>ApelURI</w:t>
      </w:r>
      <w:r>
        <w:rPr>
          <w:rFonts w:cs="Arial"/>
          <w:b/>
          <w:bCs/>
          <w:caps/>
        </w:rPr>
        <w:t>le</w:t>
      </w:r>
      <w:r w:rsidRPr="009F3A9E">
        <w:rPr>
          <w:rFonts w:cs="Arial"/>
          <w:b/>
          <w:bCs/>
          <w:caps/>
        </w:rPr>
        <w:t xml:space="preserve"> de PROIECTE NR. </w:t>
      </w:r>
      <w:r w:rsidRPr="00C7235D">
        <w:rPr>
          <w:rFonts w:cs="Arial"/>
          <w:b/>
          <w:bCs/>
          <w:caps/>
        </w:rPr>
        <w:t>POR/2017/3/3.2/1/7 REGIUNI, POR/2017/3/3.2/1/BI și POR/2017/3/3.2/1/ITI</w:t>
      </w:r>
    </w:p>
    <w:p w:rsidR="0018389D" w:rsidRPr="009F3A9E" w:rsidRDefault="0018389D" w:rsidP="0018389D">
      <w:pPr>
        <w:jc w:val="center"/>
        <w:rPr>
          <w:rFonts w:cs="Arial"/>
          <w:b/>
          <w:bCs/>
          <w:caps/>
        </w:rPr>
      </w:pPr>
      <w:r w:rsidRPr="009F3A9E">
        <w:rPr>
          <w:rFonts w:cs="Arial"/>
          <w:b/>
          <w:bCs/>
          <w:caps/>
        </w:rPr>
        <w:t>(MODEL ORIENTATIV)</w:t>
      </w:r>
    </w:p>
    <w:p w:rsidR="0018389D" w:rsidRPr="009F3A9E" w:rsidRDefault="0018389D" w:rsidP="0018389D">
      <w:pPr>
        <w:pStyle w:val="ListParagraph"/>
        <w:ind w:left="0"/>
        <w:rPr>
          <w:rFonts w:cs="Arial"/>
          <w:b/>
          <w:bCs/>
        </w:rPr>
      </w:pPr>
    </w:p>
    <w:p w:rsidR="0018389D" w:rsidRPr="009F3A9E" w:rsidRDefault="0018389D" w:rsidP="0018389D">
      <w:pPr>
        <w:pStyle w:val="ListParagraph"/>
        <w:ind w:left="0"/>
        <w:rPr>
          <w:rFonts w:cs="Arial"/>
        </w:rPr>
      </w:pPr>
      <w:r w:rsidRPr="009F3A9E">
        <w:rPr>
          <w:rFonts w:cs="Arial"/>
          <w:b/>
          <w:bCs/>
        </w:rPr>
        <w:t xml:space="preserve">Pentru prezentul apel ANEXA 1, SECTIUNEA II din </w:t>
      </w:r>
      <w:r w:rsidRPr="009F3A9E">
        <w:rPr>
          <w:b/>
          <w:i/>
          <w:color w:val="0070C0"/>
        </w:rPr>
        <w:t xml:space="preserve">Anexa 10.8 Forma de contract – model orientativ al contractului de finanţare – la Ghidul general </w:t>
      </w:r>
      <w:r w:rsidRPr="009F3A9E">
        <w:rPr>
          <w:rFonts w:cs="Arial"/>
        </w:rPr>
        <w:t>se completează cu următoarele prevederi:</w:t>
      </w:r>
    </w:p>
    <w:p w:rsidR="0018389D" w:rsidRPr="009F3A9E" w:rsidRDefault="0018389D" w:rsidP="0018389D">
      <w:pPr>
        <w:pStyle w:val="Heading5"/>
        <w:jc w:val="both"/>
        <w:rPr>
          <w:rFonts w:asciiTheme="minorHAnsi" w:hAnsiTheme="minorHAnsi" w:cs="Arial"/>
          <w:lang w:eastAsia="ro-RO"/>
        </w:rPr>
      </w:pPr>
    </w:p>
    <w:p w:rsidR="0018389D" w:rsidRPr="009F3A9E" w:rsidRDefault="0018389D" w:rsidP="0018389D">
      <w:pPr>
        <w:pStyle w:val="Heading1"/>
        <w:jc w:val="both"/>
        <w:rPr>
          <w:rFonts w:asciiTheme="minorHAnsi" w:hAnsiTheme="minorHAnsi"/>
          <w:sz w:val="22"/>
          <w:szCs w:val="22"/>
        </w:rPr>
      </w:pPr>
      <w:bookmarkStart w:id="1" w:name="_Articolul_3_-"/>
      <w:bookmarkStart w:id="2" w:name="_Toc468952542"/>
      <w:bookmarkEnd w:id="1"/>
      <w:r w:rsidRPr="009F3A9E">
        <w:rPr>
          <w:rFonts w:asciiTheme="minorHAnsi" w:hAnsiTheme="minorHAnsi"/>
          <w:sz w:val="22"/>
          <w:szCs w:val="22"/>
        </w:rPr>
        <w:t>ANEXA I – CONDIȚII SPECIFICE</w:t>
      </w:r>
      <w:bookmarkEnd w:id="2"/>
    </w:p>
    <w:p w:rsidR="0018389D" w:rsidRPr="009F3A9E" w:rsidRDefault="0018389D" w:rsidP="0018389D">
      <w:pPr>
        <w:jc w:val="both"/>
        <w:rPr>
          <w:lang w:val="en-US"/>
        </w:rPr>
      </w:pPr>
    </w:p>
    <w:p w:rsidR="0018389D" w:rsidRPr="009F3A9E" w:rsidRDefault="0018389D" w:rsidP="0018389D">
      <w:pPr>
        <w:jc w:val="both"/>
        <w:rPr>
          <w:lang w:val="en-US"/>
        </w:rPr>
      </w:pPr>
      <w:r w:rsidRPr="009F3A9E">
        <w:rPr>
          <w:lang w:val="en-US"/>
        </w:rPr>
        <w:t>SECȚIUNEA II - CONDIȚII SPECIFICE AP</w:t>
      </w:r>
      <w:r>
        <w:rPr>
          <w:lang w:val="en-US"/>
        </w:rPr>
        <w:t>LICABILE PRIORITĂŢII DE INVESTIŢ</w:t>
      </w:r>
      <w:r w:rsidRPr="009F3A9E">
        <w:rPr>
          <w:lang w:val="en-US"/>
        </w:rPr>
        <w:t>II</w:t>
      </w:r>
      <w:r>
        <w:rPr>
          <w:lang w:val="en-US"/>
        </w:rPr>
        <w:t xml:space="preserve"> 4e, OBIECTIVUL SPECIFIC</w:t>
      </w:r>
      <w:r w:rsidRPr="009F3A9E">
        <w:rPr>
          <w:lang w:val="en-US"/>
        </w:rPr>
        <w:t xml:space="preserve"> </w:t>
      </w:r>
      <w:r>
        <w:rPr>
          <w:lang w:val="en-US"/>
        </w:rPr>
        <w:t>3.2</w:t>
      </w:r>
      <w:r w:rsidRPr="009F3A9E">
        <w:rPr>
          <w:lang w:val="en-US"/>
        </w:rPr>
        <w:t xml:space="preserve"> DIN CADRUL POR 2014-2020</w:t>
      </w:r>
    </w:p>
    <w:p w:rsidR="0018389D" w:rsidRPr="009F3A9E" w:rsidRDefault="0018389D" w:rsidP="0018389D">
      <w:pPr>
        <w:pStyle w:val="ListParagraph"/>
        <w:jc w:val="both"/>
        <w:rPr>
          <w:lang w:val="en-US"/>
        </w:rPr>
      </w:pPr>
    </w:p>
    <w:p w:rsidR="0018389D" w:rsidRPr="009F3A9E" w:rsidRDefault="0018389D" w:rsidP="0018389D">
      <w:r w:rsidRPr="009F3A9E">
        <w:rPr>
          <w:lang w:val="en-US"/>
        </w:rPr>
        <w:t>Articolul 1- Alte obligații specifice beneficiarului</w:t>
      </w:r>
    </w:p>
    <w:p w:rsidR="0018389D" w:rsidRPr="009F3A9E" w:rsidRDefault="0018389D" w:rsidP="0018389D">
      <w:pPr>
        <w:pStyle w:val="ListParagraph"/>
        <w:jc w:val="both"/>
        <w:rPr>
          <w:lang w:val="en-US"/>
        </w:rPr>
      </w:pPr>
    </w:p>
    <w:p w:rsidR="0018389D" w:rsidRPr="009F3A9E" w:rsidRDefault="0018389D" w:rsidP="0018389D">
      <w:pPr>
        <w:pStyle w:val="ListParagraph"/>
        <w:numPr>
          <w:ilvl w:val="0"/>
          <w:numId w:val="5"/>
        </w:numPr>
        <w:spacing w:after="0" w:line="240" w:lineRule="auto"/>
        <w:contextualSpacing w:val="0"/>
        <w:jc w:val="both"/>
        <w:rPr>
          <w:lang w:val="en-US"/>
        </w:rPr>
      </w:pPr>
      <w:r w:rsidRPr="009F3A9E">
        <w:rPr>
          <w:lang w:val="en-US"/>
        </w:rPr>
        <w:t xml:space="preserve">Solicitantul de finanţare UAT oraşul/municipiul are obligaţia să-şi păstreze statutul de localitate urbană pe toată perioada de durabilitate a contractului de finanţare, în caz contrar AM POR poate dispune rezilierea și recuperarea sumelor plătite, în conformitate cu prevederile prezentului contract.  </w:t>
      </w:r>
    </w:p>
    <w:p w:rsidR="0018389D" w:rsidRPr="009F3A9E" w:rsidRDefault="0018389D" w:rsidP="0018389D">
      <w:pPr>
        <w:pStyle w:val="ListParagraph"/>
        <w:jc w:val="both"/>
        <w:rPr>
          <w:lang w:val="en-US"/>
        </w:rPr>
      </w:pPr>
    </w:p>
    <w:p w:rsidR="0018389D" w:rsidRDefault="0018389D" w:rsidP="0018389D">
      <w:pPr>
        <w:pStyle w:val="ListParagraph"/>
        <w:numPr>
          <w:ilvl w:val="0"/>
          <w:numId w:val="5"/>
        </w:numPr>
        <w:spacing w:after="0" w:line="240" w:lineRule="auto"/>
        <w:contextualSpacing w:val="0"/>
        <w:jc w:val="both"/>
        <w:rPr>
          <w:lang w:val="en-US"/>
        </w:rPr>
      </w:pPr>
      <w:r w:rsidRPr="009F3A9E">
        <w:rPr>
          <w:lang w:val="en-US"/>
        </w:rPr>
        <w:t xml:space="preserve">Beneficiarul are obligația ca pe perioada de durabilitate prevăzută la art. 2 alin. (5) din Condiții generale, să asigure întreținerea/mentenanța investiției în conformitate cu prevederile legale în vigoare, în caz contrar AM POR poate dispune rezilierea și recuperarea sumelor plătite, în conformitate cu prevederile prezentului contract. </w:t>
      </w:r>
    </w:p>
    <w:p w:rsidR="00BA51DF" w:rsidRPr="00BA51DF" w:rsidRDefault="00BA51DF" w:rsidP="00BA51DF">
      <w:pPr>
        <w:pStyle w:val="ListParagraph"/>
        <w:spacing w:after="0" w:line="240" w:lineRule="auto"/>
        <w:contextualSpacing w:val="0"/>
        <w:jc w:val="both"/>
        <w:rPr>
          <w:lang w:val="en-US"/>
        </w:rPr>
      </w:pPr>
    </w:p>
    <w:p w:rsidR="005301B4" w:rsidRDefault="00001508" w:rsidP="00750F8A">
      <w:pPr>
        <w:pStyle w:val="ListParagraph"/>
        <w:numPr>
          <w:ilvl w:val="0"/>
          <w:numId w:val="5"/>
        </w:numPr>
        <w:spacing w:after="0" w:line="240" w:lineRule="auto"/>
        <w:contextualSpacing w:val="0"/>
        <w:jc w:val="both"/>
        <w:rPr>
          <w:lang w:val="en-US"/>
        </w:rPr>
      </w:pPr>
      <w:r w:rsidRPr="00001508">
        <w:rPr>
          <w:i/>
          <w:lang w:val="en-US"/>
        </w:rPr>
        <w:t>Dacă este cazul</w:t>
      </w:r>
      <w:r>
        <w:rPr>
          <w:lang w:val="en-US"/>
        </w:rPr>
        <w:t xml:space="preserve">, </w:t>
      </w:r>
      <w:r w:rsidR="005301B4" w:rsidRPr="005301B4">
        <w:rPr>
          <w:lang w:val="en-US"/>
        </w:rPr>
        <w:t>AM va considera Contractul reziliat de plin drept, fără punere în întârzi</w:t>
      </w:r>
      <w:r w:rsidR="00F635CD">
        <w:rPr>
          <w:lang w:val="en-US"/>
        </w:rPr>
        <w:t>ere, fără intervenţia instanţei</w:t>
      </w:r>
      <w:r w:rsidR="005301B4" w:rsidRPr="005301B4">
        <w:rPr>
          <w:lang w:val="en-US"/>
        </w:rPr>
        <w:t xml:space="preserve"> de judecată</w:t>
      </w:r>
      <w:r w:rsidR="00312C2E">
        <w:rPr>
          <w:lang w:val="en-US"/>
        </w:rPr>
        <w:t xml:space="preserve"> şi fără orice altă formalitate</w:t>
      </w:r>
      <w:r w:rsidR="00F635CD">
        <w:rPr>
          <w:lang w:val="en-US"/>
        </w:rPr>
        <w:t xml:space="preserve">, </w:t>
      </w:r>
      <w:r w:rsidR="005301B4" w:rsidRPr="005301B4">
        <w:rPr>
          <w:lang w:val="en-US"/>
        </w:rPr>
        <w:t xml:space="preserve">dacă Beneficiarul nu prezintă </w:t>
      </w:r>
      <w:r w:rsidR="006973EB" w:rsidRPr="006973EB">
        <w:rPr>
          <w:lang w:val="en-US"/>
        </w:rPr>
        <w:t xml:space="preserve">extrasul de carte funciară actualizat cu înscrierea definitivă a dreptului de proprietate publică (inclusiv încheierea) </w:t>
      </w:r>
      <w:r w:rsidR="006973EB">
        <w:rPr>
          <w:lang w:val="en-US"/>
        </w:rPr>
        <w:t>sau</w:t>
      </w:r>
      <w:r w:rsidR="006973EB">
        <w:t xml:space="preserve">, </w:t>
      </w:r>
      <w:r w:rsidR="006973EB" w:rsidRPr="006973EB">
        <w:rPr>
          <w:rFonts w:cstheme="minorHAnsi"/>
          <w:i/>
          <w:lang w:val="en-US"/>
        </w:rPr>
        <w:t>î</w:t>
      </w:r>
      <w:r w:rsidR="006973EB" w:rsidRPr="006973EB">
        <w:rPr>
          <w:i/>
          <w:lang w:val="en-US"/>
        </w:rPr>
        <w:t>n situaţia anumitor bunuri mobile, rețele de utilități publice și în alte situații în care nu a fost realizată cadastrarea imobilelor</w:t>
      </w:r>
      <w:r w:rsidR="006973EB">
        <w:rPr>
          <w:lang w:val="en-US"/>
        </w:rPr>
        <w:t xml:space="preserve">, </w:t>
      </w:r>
      <w:r w:rsidR="005301B4" w:rsidRPr="005301B4">
        <w:rPr>
          <w:lang w:val="en-US"/>
        </w:rPr>
        <w:t>Hotărârea de Guvern de atestare a domeniului public pentru obiectivele proiectului (acolo unde este cazul)</w:t>
      </w:r>
      <w:r w:rsidR="006973EB">
        <w:rPr>
          <w:lang w:val="en-US"/>
        </w:rPr>
        <w:t>,</w:t>
      </w:r>
      <w:r w:rsidR="005301B4" w:rsidRPr="005301B4">
        <w:rPr>
          <w:lang w:val="en-US"/>
        </w:rPr>
        <w:t xml:space="preserve"> cel mai târziu până la data emiterii autorizaţiei de construire aferente proiectului, dar nu mai târziu de un termen de maxim</w:t>
      </w:r>
      <w:r w:rsidR="00312C2E">
        <w:rPr>
          <w:lang w:val="en-US"/>
        </w:rPr>
        <w:t>um</w:t>
      </w:r>
      <w:r w:rsidR="005301B4" w:rsidRPr="005301B4">
        <w:rPr>
          <w:lang w:val="en-US"/>
        </w:rPr>
        <w:t xml:space="preserve"> 1 an de la data intrării în vigoare a prezentului contract de finanțare. OI are obligația monitorizării termenului de 1 an anterior menționat şi realizarea demersurilor necesare pentru informarea corespunzătoare a AMPOR.</w:t>
      </w:r>
      <w:r w:rsidR="006973EB">
        <w:rPr>
          <w:lang w:val="en-US"/>
        </w:rPr>
        <w:t xml:space="preserve"> </w:t>
      </w:r>
      <w:r w:rsidR="00750F8A" w:rsidRPr="00750F8A">
        <w:rPr>
          <w:lang w:val="en-US"/>
        </w:rPr>
        <w:t xml:space="preserve">Pe perioada anterior menționată solicitantul nu poate depune nicio cerere de </w:t>
      </w:r>
      <w:r w:rsidR="00056065">
        <w:rPr>
          <w:lang w:val="en-US"/>
        </w:rPr>
        <w:t>prefinanţare/</w:t>
      </w:r>
      <w:r w:rsidR="00750F8A" w:rsidRPr="00750F8A">
        <w:rPr>
          <w:lang w:val="en-US"/>
        </w:rPr>
        <w:t>rambursare/</w:t>
      </w:r>
      <w:r w:rsidR="008573A4">
        <w:rPr>
          <w:lang w:val="en-US"/>
        </w:rPr>
        <w:t xml:space="preserve"> </w:t>
      </w:r>
      <w:bookmarkStart w:id="3" w:name="_GoBack"/>
      <w:bookmarkEnd w:id="3"/>
      <w:r w:rsidR="00750F8A" w:rsidRPr="00750F8A">
        <w:rPr>
          <w:lang w:val="en-US"/>
        </w:rPr>
        <w:t>plată, iar AMPOR nu va efectua plăți/rambursări.</w:t>
      </w:r>
    </w:p>
    <w:p w:rsidR="00694F22" w:rsidRDefault="00694F22" w:rsidP="00694F22">
      <w:pPr>
        <w:pStyle w:val="ListParagraph"/>
        <w:spacing w:after="0" w:line="240" w:lineRule="auto"/>
        <w:contextualSpacing w:val="0"/>
        <w:jc w:val="both"/>
        <w:rPr>
          <w:lang w:val="en-US"/>
        </w:rPr>
      </w:pPr>
    </w:p>
    <w:p w:rsidR="0018389D" w:rsidRDefault="0018389D" w:rsidP="0018389D">
      <w:pPr>
        <w:pStyle w:val="ListParagraph"/>
        <w:numPr>
          <w:ilvl w:val="0"/>
          <w:numId w:val="5"/>
        </w:numPr>
        <w:spacing w:after="0" w:line="240" w:lineRule="auto"/>
        <w:contextualSpacing w:val="0"/>
        <w:jc w:val="both"/>
        <w:rPr>
          <w:lang w:val="en-US"/>
        </w:rPr>
      </w:pPr>
      <w:r w:rsidRPr="00AE50BA">
        <w:rPr>
          <w:i/>
          <w:lang w:val="en-US"/>
        </w:rPr>
        <w:lastRenderedPageBreak/>
        <w:t>Dacă este cazul</w:t>
      </w:r>
      <w:r>
        <w:rPr>
          <w:rStyle w:val="FootnoteReference"/>
          <w:lang w:val="en-US"/>
        </w:rPr>
        <w:footnoteReference w:id="1"/>
      </w:r>
      <w:r w:rsidRPr="009F3A9E">
        <w:rPr>
          <w:lang w:val="en-US"/>
        </w:rPr>
        <w:t xml:space="preserve">, beneficiarul are obligația implementării proiectelor/investiţiilor complementare proiectului aferent prezentului Contract de finanţare până la data de 31.12.2023, în caz contrar AM POR poate dispune rezilierea și recuperarea sumelor plătite, în conformitate cu prevederile prezentului contract.  </w:t>
      </w:r>
    </w:p>
    <w:p w:rsidR="0018389D" w:rsidRPr="009F3A9E" w:rsidRDefault="0018389D" w:rsidP="0018389D">
      <w:pPr>
        <w:pStyle w:val="ListParagraph"/>
        <w:jc w:val="both"/>
        <w:rPr>
          <w:lang w:val="en-US"/>
        </w:rPr>
      </w:pPr>
    </w:p>
    <w:p w:rsidR="0018389D" w:rsidRPr="009F3A9E" w:rsidRDefault="0018389D" w:rsidP="0018389D">
      <w:pPr>
        <w:pStyle w:val="ListParagraph"/>
        <w:numPr>
          <w:ilvl w:val="0"/>
          <w:numId w:val="5"/>
        </w:numPr>
        <w:spacing w:after="0" w:line="240" w:lineRule="auto"/>
        <w:contextualSpacing w:val="0"/>
        <w:jc w:val="both"/>
        <w:rPr>
          <w:lang w:val="en-US"/>
        </w:rPr>
      </w:pPr>
      <w:r w:rsidRPr="00AE50BA">
        <w:rPr>
          <w:i/>
          <w:lang w:val="en-US"/>
        </w:rPr>
        <w:t>Dacă este cazul</w:t>
      </w:r>
      <w:r>
        <w:rPr>
          <w:rStyle w:val="FootnoteReference"/>
          <w:lang w:val="en-US"/>
        </w:rPr>
        <w:footnoteReference w:id="2"/>
      </w:r>
      <w:r w:rsidRPr="009F3A9E">
        <w:rPr>
          <w:lang w:val="en-US"/>
        </w:rPr>
        <w:t xml:space="preserve">, Beneficiarul are obligaţia să prezinte dovada înfiinţării traseelor de transport public de călători care au facut obiectul finanţării prin proiect în primul an al perioadei de durabilitate şi să asigure menţinerea acestor trasee aferente investiţiilor din proiect pe întreaga perioadă de durabilitate a contractului de finanţare, în caz contrar AM POR poate dispune, după caz, rezilierea și/sau recuperarea sumelor plătite, în conformitate cu prevederile prezentului contract. </w:t>
      </w:r>
    </w:p>
    <w:p w:rsidR="0018389D" w:rsidRPr="009F3A9E" w:rsidRDefault="0018389D" w:rsidP="0018389D">
      <w:pPr>
        <w:ind w:left="360"/>
        <w:jc w:val="both"/>
        <w:rPr>
          <w:lang w:val="en-US"/>
        </w:rPr>
      </w:pPr>
    </w:p>
    <w:p w:rsidR="0018389D" w:rsidRPr="009F3A9E" w:rsidRDefault="0018389D" w:rsidP="0018389D">
      <w:pPr>
        <w:pStyle w:val="ListParagraph"/>
        <w:numPr>
          <w:ilvl w:val="0"/>
          <w:numId w:val="5"/>
        </w:numPr>
        <w:spacing w:after="0" w:line="240" w:lineRule="auto"/>
        <w:contextualSpacing w:val="0"/>
        <w:jc w:val="both"/>
        <w:rPr>
          <w:lang w:val="en-US"/>
        </w:rPr>
      </w:pPr>
      <w:r w:rsidRPr="00443E1D">
        <w:rPr>
          <w:i/>
          <w:lang w:val="en-US"/>
        </w:rPr>
        <w:t>Dacă este cazul</w:t>
      </w:r>
      <w:r>
        <w:rPr>
          <w:rStyle w:val="FootnoteReference"/>
          <w:lang w:val="en-US"/>
        </w:rPr>
        <w:footnoteReference w:id="3"/>
      </w:r>
      <w:r w:rsidRPr="009F3A9E">
        <w:rPr>
          <w:lang w:val="en-US"/>
        </w:rPr>
        <w:t>, Beneficiarul are obligaţia ca pe întreaga perioadă de durabilitate a contractului de finanţare, să asigure prestarea serviciului de transport public de călători, pentru care s-au realizat investiţii prin Obiectivul Specific 3.2 al POR 2014-2020, în caz contrar AM POR poate dispune rezilierea și recuperarea sumelor plătite, în conformitate cu prevederile prezentului contract.</w:t>
      </w:r>
    </w:p>
    <w:p w:rsidR="0018389D" w:rsidRPr="009F3A9E" w:rsidRDefault="0018389D" w:rsidP="0018389D">
      <w:pPr>
        <w:jc w:val="both"/>
        <w:rPr>
          <w:lang w:val="en-US"/>
        </w:rPr>
      </w:pPr>
    </w:p>
    <w:p w:rsidR="0018389D" w:rsidRPr="009F3A9E" w:rsidRDefault="0018389D" w:rsidP="0018389D">
      <w:pPr>
        <w:pStyle w:val="ListParagraph"/>
        <w:numPr>
          <w:ilvl w:val="0"/>
          <w:numId w:val="5"/>
        </w:numPr>
        <w:spacing w:after="0" w:line="240" w:lineRule="auto"/>
        <w:contextualSpacing w:val="0"/>
        <w:jc w:val="both"/>
        <w:rPr>
          <w:lang w:val="en-US"/>
        </w:rPr>
      </w:pPr>
      <w:r w:rsidRPr="009F3A9E">
        <w:rPr>
          <w:lang w:val="en-US"/>
        </w:rPr>
        <w:t>Pentru proiectele cu activităţi pentru care este necesară prezentarea unui Contract de delegare a gestiunii serviciului de transport public de călători/ Hotărâre de dare în administrare a prestării serviciului de transport public de călători, în conformitate cu Regulamentul (CE) nr. 1370/2007, respectiv pentru activităţile: achiziționarea de material rulant (tramvaie), modernizarea materialului rulant existent (tramvaie), achiziționarea de troleibuze, achiziționarea de autobuze, crearea/extinderea traseelor de transport public electric (tramvai, troleibuz, staţii de încărcare pentru autobuzele alimentate electric), construirea/modernizarea/reabilitarea/extinderea depourilor/autobazelor aferente transportului public, inclusiv infrastructura tehnică aferentă, crearea/extinderea/</w:t>
      </w:r>
      <w:r w:rsidR="00201AEA">
        <w:rPr>
          <w:lang w:val="en-US"/>
        </w:rPr>
        <w:t xml:space="preserve"> </w:t>
      </w:r>
      <w:r w:rsidRPr="009F3A9E">
        <w:rPr>
          <w:lang w:val="en-US"/>
        </w:rPr>
        <w:t xml:space="preserve">modernizarea sistemelor de bilete integrate pentru călători („e-bilete”  sau „e-ticketing”), beneficiarul are următoarele obligaţii: </w:t>
      </w:r>
    </w:p>
    <w:p w:rsidR="0018389D" w:rsidRDefault="0018389D" w:rsidP="00104A1A">
      <w:pPr>
        <w:pStyle w:val="ListParagraph"/>
        <w:numPr>
          <w:ilvl w:val="1"/>
          <w:numId w:val="5"/>
        </w:numPr>
        <w:spacing w:after="0" w:line="240" w:lineRule="auto"/>
        <w:contextualSpacing w:val="0"/>
        <w:jc w:val="both"/>
        <w:rPr>
          <w:lang w:val="en-US"/>
        </w:rPr>
      </w:pPr>
      <w:r w:rsidRPr="00443E1D">
        <w:rPr>
          <w:i/>
          <w:lang w:val="en-US"/>
        </w:rPr>
        <w:t>Dacă este cazul</w:t>
      </w:r>
      <w:r w:rsidRPr="009F3A9E">
        <w:rPr>
          <w:lang w:val="en-US"/>
        </w:rPr>
        <w:t>, Beneficiarul are obligaţia de a depune contractul de delegare a gestiunii serviciului de transport public de călători sau hotărârea de dare în administrarea a serviciului de transport public de călători, în funcție de tipul operatorului, în conformitate cu prevederile Regulamentului (CE) nr. 1370/2007, precum şi avizele sau acordurile necesare, după caz, în term</w:t>
      </w:r>
      <w:r>
        <w:rPr>
          <w:lang w:val="en-US"/>
        </w:rPr>
        <w:t>en de maximum 1 an</w:t>
      </w:r>
      <w:r>
        <w:rPr>
          <w:rStyle w:val="FootnoteReference"/>
          <w:lang w:val="en-US"/>
        </w:rPr>
        <w:footnoteReference w:id="4"/>
      </w:r>
      <w:r>
        <w:rPr>
          <w:lang w:val="en-US"/>
        </w:rPr>
        <w:t xml:space="preserve">  sau 18 luni</w:t>
      </w:r>
      <w:r>
        <w:rPr>
          <w:rStyle w:val="FootnoteReference"/>
          <w:lang w:val="en-US"/>
        </w:rPr>
        <w:footnoteReference w:id="5"/>
      </w:r>
      <w:r w:rsidRPr="009F3A9E">
        <w:rPr>
          <w:lang w:val="en-US"/>
        </w:rPr>
        <w:t xml:space="preserve">, de la semnarea contractului de finanţare, </w:t>
      </w:r>
      <w:r w:rsidR="0028218A" w:rsidRPr="0028218A">
        <w:rPr>
          <w:lang w:val="en-US"/>
        </w:rPr>
        <w:t>dar înainte de transferarea bunurilor ce fac obiectul proiectului către operatorul de transport</w:t>
      </w:r>
      <w:r w:rsidR="0028218A">
        <w:rPr>
          <w:lang w:val="en-US"/>
        </w:rPr>
        <w:t xml:space="preserve">, </w:t>
      </w:r>
      <w:r w:rsidRPr="009F3A9E">
        <w:rPr>
          <w:lang w:val="en-US"/>
        </w:rPr>
        <w:t xml:space="preserve">în caz contrar AM POR poate dispune rezilierea și recuperarea sumelor plătite, în conformitate cu </w:t>
      </w:r>
      <w:r w:rsidRPr="009F3A9E">
        <w:rPr>
          <w:lang w:val="en-US"/>
        </w:rPr>
        <w:lastRenderedPageBreak/>
        <w:t xml:space="preserve">prevederile prezentului contract. </w:t>
      </w:r>
      <w:r w:rsidR="00104A1A" w:rsidRPr="00104A1A">
        <w:rPr>
          <w:lang w:val="en-US"/>
        </w:rPr>
        <w:t>OI are obl</w:t>
      </w:r>
      <w:r w:rsidR="00104A1A">
        <w:rPr>
          <w:lang w:val="en-US"/>
        </w:rPr>
        <w:t xml:space="preserve">igația monitorizării termenelor </w:t>
      </w:r>
      <w:r w:rsidR="00104A1A" w:rsidRPr="00104A1A">
        <w:rPr>
          <w:lang w:val="en-US"/>
        </w:rPr>
        <w:t>anterior menționat</w:t>
      </w:r>
      <w:r w:rsidR="00104A1A">
        <w:rPr>
          <w:lang w:val="en-US"/>
        </w:rPr>
        <w:t>e</w:t>
      </w:r>
      <w:r w:rsidR="00104A1A" w:rsidRPr="00104A1A">
        <w:rPr>
          <w:lang w:val="en-US"/>
        </w:rPr>
        <w:t xml:space="preserve"> şi realizarea demersurilor necesare pentru informarea corespunzătoare a AMPOR</w:t>
      </w:r>
      <w:r w:rsidR="00104A1A">
        <w:rPr>
          <w:lang w:val="en-US"/>
        </w:rPr>
        <w:t>.</w:t>
      </w:r>
    </w:p>
    <w:p w:rsidR="005951E8" w:rsidRPr="009F3A9E" w:rsidRDefault="005951E8" w:rsidP="004447AA">
      <w:pPr>
        <w:pStyle w:val="ListParagraph"/>
        <w:numPr>
          <w:ilvl w:val="1"/>
          <w:numId w:val="5"/>
        </w:numPr>
        <w:spacing w:after="0" w:line="240" w:lineRule="auto"/>
        <w:contextualSpacing w:val="0"/>
        <w:jc w:val="both"/>
        <w:rPr>
          <w:lang w:val="en-US"/>
        </w:rPr>
      </w:pPr>
      <w:r w:rsidRPr="005951E8">
        <w:rPr>
          <w:lang w:val="en-US"/>
        </w:rPr>
        <w:t>Beneficiarul are obligaţia</w:t>
      </w:r>
      <w:r>
        <w:rPr>
          <w:lang w:val="en-US"/>
        </w:rPr>
        <w:t xml:space="preserve"> de a respecta prevederile </w:t>
      </w:r>
      <w:r w:rsidR="00B57022" w:rsidRPr="00B57022">
        <w:rPr>
          <w:lang w:val="en-US"/>
        </w:rPr>
        <w:t>Regulamentului (CE) nr. 1370/2007</w:t>
      </w:r>
      <w:r w:rsidR="003D650C">
        <w:rPr>
          <w:lang w:val="en-US"/>
        </w:rPr>
        <w:t>,</w:t>
      </w:r>
      <w:r w:rsidR="009E1F35">
        <w:rPr>
          <w:lang w:val="en-US"/>
        </w:rPr>
        <w:t xml:space="preserve"> pe toată perioada de</w:t>
      </w:r>
      <w:r w:rsidR="003D650C">
        <w:rPr>
          <w:lang w:val="en-US"/>
        </w:rPr>
        <w:t xml:space="preserve"> după î</w:t>
      </w:r>
      <w:r w:rsidR="004447AA">
        <w:rPr>
          <w:lang w:val="en-US"/>
        </w:rPr>
        <w:t>ncheierea</w:t>
      </w:r>
      <w:r w:rsidR="003D650C">
        <w:rPr>
          <w:lang w:val="en-US"/>
        </w:rPr>
        <w:t xml:space="preserve"> </w:t>
      </w:r>
      <w:r w:rsidR="004447AA" w:rsidRPr="004447AA">
        <w:rPr>
          <w:lang w:val="en-US"/>
        </w:rPr>
        <w:t>contractul</w:t>
      </w:r>
      <w:r w:rsidR="004447AA">
        <w:rPr>
          <w:lang w:val="en-US"/>
        </w:rPr>
        <w:t>ui</w:t>
      </w:r>
      <w:r w:rsidR="004447AA" w:rsidRPr="004447AA">
        <w:rPr>
          <w:lang w:val="en-US"/>
        </w:rPr>
        <w:t xml:space="preserve"> de delegare a gestiunii serviciului de t</w:t>
      </w:r>
      <w:r w:rsidR="004447AA">
        <w:rPr>
          <w:lang w:val="en-US"/>
        </w:rPr>
        <w:t>ransport public de călători/hotărârii</w:t>
      </w:r>
      <w:r w:rsidR="004447AA" w:rsidRPr="004447AA">
        <w:rPr>
          <w:lang w:val="en-US"/>
        </w:rPr>
        <w:t xml:space="preserve"> de dare în administrarea a serviciului de transport public de călători</w:t>
      </w:r>
      <w:r w:rsidR="004447AA">
        <w:rPr>
          <w:lang w:val="en-US"/>
        </w:rPr>
        <w:t>, după caz</w:t>
      </w:r>
      <w:r w:rsidR="004447AA" w:rsidRPr="004447AA">
        <w:rPr>
          <w:lang w:val="en-US"/>
        </w:rPr>
        <w:t xml:space="preserve"> </w:t>
      </w:r>
      <w:r w:rsidR="003D650C">
        <w:rPr>
          <w:lang w:val="en-US"/>
        </w:rPr>
        <w:t xml:space="preserve">şi </w:t>
      </w:r>
      <w:r w:rsidR="009E1F35">
        <w:rPr>
          <w:lang w:val="en-US"/>
        </w:rPr>
        <w:t>până la finalizarea perioadei</w:t>
      </w:r>
      <w:r w:rsidR="003D650C">
        <w:rPr>
          <w:lang w:val="en-US"/>
        </w:rPr>
        <w:t xml:space="preserve"> de durabilitate a contractului de finanţ</w:t>
      </w:r>
      <w:r w:rsidR="004447AA">
        <w:rPr>
          <w:lang w:val="en-US"/>
        </w:rPr>
        <w:t xml:space="preserve">are, </w:t>
      </w:r>
      <w:r w:rsidR="004447AA" w:rsidRPr="004447AA">
        <w:rPr>
          <w:lang w:val="en-US"/>
        </w:rPr>
        <w:t>în caz contrar AM POR poate dispune rezilierea și recuperarea sumelor plătite, în conformitate cu prevederile prezentului contract.</w:t>
      </w:r>
    </w:p>
    <w:p w:rsidR="0018389D" w:rsidRPr="009F3A9E" w:rsidRDefault="0018389D" w:rsidP="0018389D">
      <w:pPr>
        <w:pStyle w:val="ListParagraph"/>
        <w:numPr>
          <w:ilvl w:val="1"/>
          <w:numId w:val="5"/>
        </w:numPr>
        <w:spacing w:after="0" w:line="240" w:lineRule="auto"/>
        <w:contextualSpacing w:val="0"/>
        <w:jc w:val="both"/>
        <w:rPr>
          <w:lang w:val="en-US"/>
        </w:rPr>
      </w:pPr>
      <w:r w:rsidRPr="00201AEA">
        <w:rPr>
          <w:i/>
          <w:lang w:val="en-US"/>
        </w:rPr>
        <w:t>Dacă este cazul</w:t>
      </w:r>
      <w:r w:rsidRPr="009F3A9E">
        <w:rPr>
          <w:lang w:val="en-US"/>
        </w:rPr>
        <w:t>, În situaţia în care la momentul depunerii Cererii de finanţare operatorul de transport este reprezentat de o regie autonomă de interes local/judeţean şi sunt aplicabile prevederile referitoare la regulile de ajutor de stat privind finanţarea sistemelor de transport public, în termen de maximum 1 an</w:t>
      </w:r>
      <w:r>
        <w:rPr>
          <w:lang w:val="en-US"/>
        </w:rPr>
        <w:t xml:space="preserve"> </w:t>
      </w:r>
      <w:r w:rsidRPr="009F3A9E">
        <w:rPr>
          <w:lang w:val="en-US"/>
        </w:rPr>
        <w:t>sau 18 luni de la semnarea cont</w:t>
      </w:r>
      <w:r>
        <w:rPr>
          <w:lang w:val="en-US"/>
        </w:rPr>
        <w:t>ractului de finanţare, după caz</w:t>
      </w:r>
      <w:r>
        <w:rPr>
          <w:rStyle w:val="FootnoteReference"/>
          <w:lang w:val="en-US"/>
        </w:rPr>
        <w:footnoteReference w:id="6"/>
      </w:r>
      <w:r w:rsidRPr="009F3A9E">
        <w:rPr>
          <w:lang w:val="en-US"/>
        </w:rPr>
        <w:t xml:space="preserve"> se vor respecta prevederile din Legea nr. 51/2006  republicată, cu modificările şi completările ulterioare</w:t>
      </w:r>
      <w:r>
        <w:rPr>
          <w:rStyle w:val="FootnoteReference"/>
          <w:lang w:val="en-US"/>
        </w:rPr>
        <w:footnoteReference w:id="7"/>
      </w:r>
      <w:r w:rsidRPr="009F3A9E">
        <w:rPr>
          <w:lang w:val="en-US"/>
        </w:rPr>
        <w:t>, privind forma de organizare a operatorului.</w:t>
      </w:r>
    </w:p>
    <w:p w:rsidR="0018389D" w:rsidRPr="009F3A9E" w:rsidRDefault="0018389D" w:rsidP="0018389D">
      <w:pPr>
        <w:pStyle w:val="ListParagraph"/>
        <w:numPr>
          <w:ilvl w:val="1"/>
          <w:numId w:val="5"/>
        </w:numPr>
        <w:spacing w:after="0" w:line="240" w:lineRule="auto"/>
        <w:contextualSpacing w:val="0"/>
        <w:jc w:val="both"/>
        <w:rPr>
          <w:lang w:val="en-US"/>
        </w:rPr>
      </w:pPr>
      <w:r w:rsidRPr="006B1B50">
        <w:rPr>
          <w:i/>
          <w:lang w:val="en-US"/>
        </w:rPr>
        <w:t>Dacă este cazul</w:t>
      </w:r>
      <w:r w:rsidRPr="009F3A9E">
        <w:rPr>
          <w:lang w:val="en-US"/>
        </w:rPr>
        <w:t xml:space="preserve">, Beneficiarul are obligaţia de a încasa redevenţa în cuantumul stabilit prin contractul de delegare a gestiunii serviciului de transport public de călători. </w:t>
      </w:r>
    </w:p>
    <w:p w:rsidR="0018389D" w:rsidRPr="009F3A9E" w:rsidRDefault="0018389D" w:rsidP="0018389D">
      <w:pPr>
        <w:pStyle w:val="ListParagraph"/>
        <w:numPr>
          <w:ilvl w:val="1"/>
          <w:numId w:val="5"/>
        </w:numPr>
        <w:spacing w:after="0" w:line="240" w:lineRule="auto"/>
        <w:contextualSpacing w:val="0"/>
        <w:jc w:val="both"/>
        <w:rPr>
          <w:lang w:val="en-US"/>
        </w:rPr>
      </w:pPr>
      <w:r w:rsidRPr="009F3A9E">
        <w:rPr>
          <w:lang w:val="en-US"/>
        </w:rPr>
        <w:t>Pe perioada de implementare</w:t>
      </w:r>
      <w:r>
        <w:rPr>
          <w:rStyle w:val="FootnoteReference"/>
          <w:lang w:val="en-US"/>
        </w:rPr>
        <w:footnoteReference w:id="8"/>
      </w:r>
      <w:r w:rsidRPr="009F3A9E">
        <w:rPr>
          <w:lang w:val="en-US"/>
        </w:rPr>
        <w:t xml:space="preserve"> şi a durabilităţii contractului de finanţare, beneficiarul are obligaţia de a publica anual pe website-ul oficial al instituţiei, în conformitate cu dispoziţiile art. 7 alin. (1) din Regulamentul (CE) nr. 1370/2007, un raport cumulativ care să cuprindă: obligaţiile de serviciu public de transport de călători pentru fiecare tip de transport public prestat, operatorii selectaţi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performanţă stabiliţi prin contract etc. </w:t>
      </w:r>
    </w:p>
    <w:p w:rsidR="0018389D" w:rsidRPr="009F3A9E" w:rsidRDefault="0018389D" w:rsidP="0018389D">
      <w:pPr>
        <w:pStyle w:val="ListParagraph"/>
        <w:numPr>
          <w:ilvl w:val="1"/>
          <w:numId w:val="5"/>
        </w:numPr>
        <w:spacing w:after="0" w:line="240" w:lineRule="auto"/>
        <w:contextualSpacing w:val="0"/>
        <w:jc w:val="both"/>
        <w:rPr>
          <w:lang w:val="en-US"/>
        </w:rPr>
      </w:pPr>
      <w:r w:rsidRPr="009F3A9E">
        <w:rPr>
          <w:lang w:val="en-US"/>
        </w:rPr>
        <w:t>Beneficiarul are obligaţia ca pe toată perioada de durabilitate a contractului de finanţare să nu ofere o compensaţie financiară care să depășeasca efectului financiar net, conform art. 2 din Anexa la Regulamentul (CE) nr. 1370/2007. În cazul înregistrării unei supracompensări anuale acordate operatorului de transport public, beneficiarul are obligaţia să recupereze de la operator diferenţa până la valoarea corespunzătoare compensaţiei datorate.</w:t>
      </w:r>
    </w:p>
    <w:p w:rsidR="0018389D" w:rsidRPr="009F3A9E" w:rsidRDefault="0018389D" w:rsidP="0018389D">
      <w:pPr>
        <w:pStyle w:val="ListParagraph"/>
        <w:numPr>
          <w:ilvl w:val="1"/>
          <w:numId w:val="5"/>
        </w:numPr>
        <w:spacing w:after="0" w:line="240" w:lineRule="auto"/>
        <w:contextualSpacing w:val="0"/>
        <w:jc w:val="both"/>
        <w:rPr>
          <w:lang w:val="en-US"/>
        </w:rPr>
      </w:pPr>
      <w:r w:rsidRPr="00443E1D">
        <w:rPr>
          <w:i/>
          <w:lang w:val="en-US"/>
        </w:rPr>
        <w:t>Dacă este cazul</w:t>
      </w:r>
      <w:r w:rsidRPr="009F3A9E">
        <w:rPr>
          <w:lang w:val="en-US"/>
        </w:rPr>
        <w:t xml:space="preserve">, După prezentarea contractului de delegare a gestiunii/ Hotărârii de dare în administrare a prestării serviciului de transport public de călători, conform cu Regulamentul (CE) nr. 1370/2007, oricând se solicită de către AMPOR sau de către alte instituții abilitate,  beneficiarul are obligaţia de a transmite un raport de audit, elaborat de un auditor financiar independent, asupra situaţiilor financiare aprobate ale solicitantului și ale operatorului de transport public, cu privire la conformitatea calculării compensaţiei acordate operatorului cu Regulamentul (CE) nr. 1370/2007. </w:t>
      </w:r>
    </w:p>
    <w:p w:rsidR="0018389D" w:rsidRPr="009F3A9E" w:rsidRDefault="0018389D" w:rsidP="0018389D">
      <w:pPr>
        <w:pStyle w:val="ListParagraph"/>
        <w:jc w:val="both"/>
        <w:rPr>
          <w:lang w:val="en-US"/>
        </w:rPr>
      </w:pPr>
    </w:p>
    <w:p w:rsidR="0018389D" w:rsidRPr="009F3A9E" w:rsidRDefault="0018389D" w:rsidP="0018389D">
      <w:pPr>
        <w:pStyle w:val="ListParagraph"/>
        <w:numPr>
          <w:ilvl w:val="0"/>
          <w:numId w:val="5"/>
        </w:numPr>
        <w:spacing w:after="0" w:line="240" w:lineRule="auto"/>
        <w:contextualSpacing w:val="0"/>
        <w:jc w:val="both"/>
        <w:rPr>
          <w:lang w:val="en-US"/>
        </w:rPr>
      </w:pPr>
      <w:r w:rsidRPr="009F3A9E">
        <w:rPr>
          <w:lang w:val="en-US"/>
        </w:rPr>
        <w:t xml:space="preserve">Pentru proiectele cu alte activităţi, decât cele privind sistemele de transport public de călători, cum ar fi: achiziționarea și instalarea stațiilor de reîncărcare a automobilelor </w:t>
      </w:r>
      <w:r w:rsidRPr="009F3A9E">
        <w:rPr>
          <w:lang w:val="en-US"/>
        </w:rPr>
        <w:lastRenderedPageBreak/>
        <w:t>electrice şi electrice hibride, crearea/modernizarea/extinderea sistemelor de închiriere de biciclete, construirea parcărilor de transfer de tip „park and ride” şi altele, dacă este cazul</w:t>
      </w:r>
      <w:r>
        <w:rPr>
          <w:rStyle w:val="FootnoteReference"/>
          <w:lang w:val="en-US"/>
        </w:rPr>
        <w:footnoteReference w:id="9"/>
      </w:r>
      <w:r w:rsidRPr="009F3A9E">
        <w:rPr>
          <w:lang w:val="en-US"/>
        </w:rPr>
        <w:t xml:space="preserve"> , beneficiarul are următoarele obligaţii: </w:t>
      </w:r>
    </w:p>
    <w:p w:rsidR="0018389D" w:rsidRPr="009F3A9E" w:rsidRDefault="0018389D" w:rsidP="0018389D">
      <w:pPr>
        <w:pStyle w:val="ListParagraph"/>
        <w:numPr>
          <w:ilvl w:val="1"/>
          <w:numId w:val="5"/>
        </w:numPr>
        <w:spacing w:after="0" w:line="240" w:lineRule="auto"/>
        <w:contextualSpacing w:val="0"/>
        <w:jc w:val="both"/>
        <w:rPr>
          <w:lang w:val="en-US"/>
        </w:rPr>
      </w:pPr>
      <w:r w:rsidRPr="006B1B50">
        <w:rPr>
          <w:i/>
          <w:lang w:val="en-US"/>
        </w:rPr>
        <w:t>Dacă este cazul</w:t>
      </w:r>
      <w:r w:rsidRPr="009F3A9E">
        <w:rPr>
          <w:lang w:val="en-US"/>
        </w:rPr>
        <w:t>, Transmiterea dreptului de folosință/administrare asupra obiectelor/bunurilor realizate prin proiect către o terță parte</w:t>
      </w:r>
      <w:r w:rsidRPr="00965B9D">
        <w:t xml:space="preserve"> </w:t>
      </w:r>
      <w:r w:rsidRPr="00965B9D">
        <w:rPr>
          <w:lang w:val="en-US"/>
        </w:rPr>
        <w:t>pentru îndeplinirea activităților corespunzătoare obiectivelor proiectului</w:t>
      </w:r>
      <w:r>
        <w:rPr>
          <w:lang w:val="en-US"/>
        </w:rPr>
        <w:t>,</w:t>
      </w:r>
      <w:r w:rsidRPr="009F3A9E">
        <w:rPr>
          <w:lang w:val="en-US"/>
        </w:rPr>
        <w:t xml:space="preserv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folosință/administrare anterior menționat poate conduce la rezilierea și recuperarea sumelor plătite, în conformitate cu prevederile prezentului contract.</w:t>
      </w:r>
    </w:p>
    <w:p w:rsidR="0018389D" w:rsidRPr="009F3A9E" w:rsidRDefault="0018389D" w:rsidP="0018389D">
      <w:pPr>
        <w:pStyle w:val="ListParagraph"/>
        <w:numPr>
          <w:ilvl w:val="1"/>
          <w:numId w:val="5"/>
        </w:numPr>
        <w:spacing w:after="0" w:line="240" w:lineRule="auto"/>
        <w:contextualSpacing w:val="0"/>
        <w:jc w:val="both"/>
        <w:rPr>
          <w:lang w:val="en-US"/>
        </w:rPr>
      </w:pPr>
      <w:r w:rsidRPr="006B1B50">
        <w:rPr>
          <w:i/>
          <w:lang w:val="en-US"/>
        </w:rPr>
        <w:t>Dacă este cazul</w:t>
      </w:r>
      <w:r w:rsidRPr="009F3A9E">
        <w:rPr>
          <w:lang w:val="en-US"/>
        </w:rPr>
        <w:t>, Pe perioada de implementare şi durabilitate a contractului de finanţare, în situaţia în care investițiile vor fi operate</w:t>
      </w:r>
      <w:r>
        <w:rPr>
          <w:lang w:val="en-US"/>
        </w:rPr>
        <w:t xml:space="preserve"> </w:t>
      </w:r>
      <w:r w:rsidRPr="009F3A9E">
        <w:rPr>
          <w:lang w:val="en-US"/>
        </w:rPr>
        <w:t>de către solicitant/serviciile de interes public local aflate în subordinea acestuia</w:t>
      </w:r>
      <w:r>
        <w:rPr>
          <w:lang w:val="en-US"/>
        </w:rPr>
        <w:t>,</w:t>
      </w:r>
      <w:r w:rsidRPr="00965B9D">
        <w:t xml:space="preserve"> </w:t>
      </w:r>
      <w:r w:rsidRPr="00965B9D">
        <w:rPr>
          <w:lang w:val="en-US"/>
        </w:rPr>
        <w:t>pentru îndeplinirea activităților corespunz</w:t>
      </w:r>
      <w:r>
        <w:rPr>
          <w:lang w:val="en-US"/>
        </w:rPr>
        <w:t>ătoare obiectivelor proiectului</w:t>
      </w:r>
      <w:r w:rsidRPr="009F3A9E">
        <w:rPr>
          <w:lang w:val="en-US"/>
        </w:rPr>
        <w:t>, veniturile colectate prin bilete/tarife nu vor depăşi 50% din cheltuielile de exploatare ale investiţiei ce face obiectul proiectului.</w:t>
      </w:r>
    </w:p>
    <w:p w:rsidR="0018389D" w:rsidRPr="009F3A9E" w:rsidRDefault="0018389D" w:rsidP="0018389D">
      <w:pPr>
        <w:pStyle w:val="ListParagraph"/>
        <w:jc w:val="both"/>
        <w:rPr>
          <w:lang w:val="en-US"/>
        </w:rPr>
      </w:pPr>
    </w:p>
    <w:p w:rsidR="0018389D" w:rsidRPr="009F3A9E" w:rsidRDefault="0018389D" w:rsidP="0018389D">
      <w:pPr>
        <w:jc w:val="both"/>
        <w:rPr>
          <w:lang w:val="en-US"/>
        </w:rPr>
      </w:pPr>
      <w:r w:rsidRPr="009F3A9E">
        <w:rPr>
          <w:lang w:val="en-US"/>
        </w:rPr>
        <w:t xml:space="preserve">Articolul 2 </w:t>
      </w:r>
      <w:r>
        <w:rPr>
          <w:lang w:val="en-US"/>
        </w:rPr>
        <w:t xml:space="preserve">- </w:t>
      </w:r>
      <w:r w:rsidRPr="009F3A9E">
        <w:rPr>
          <w:lang w:val="en-US"/>
        </w:rPr>
        <w:t>Completarea prevederilor ANEXEI 8 - MĂSURI DE INFORMARE ȘI PUBLICITATE</w:t>
      </w:r>
    </w:p>
    <w:p w:rsidR="0018389D" w:rsidRPr="009F3A9E" w:rsidRDefault="0018389D" w:rsidP="0018389D">
      <w:pPr>
        <w:pStyle w:val="ListParagraph"/>
        <w:numPr>
          <w:ilvl w:val="0"/>
          <w:numId w:val="6"/>
        </w:numPr>
        <w:spacing w:after="0" w:line="240" w:lineRule="auto"/>
        <w:contextualSpacing w:val="0"/>
        <w:jc w:val="both"/>
        <w:rPr>
          <w:lang w:val="en-US"/>
        </w:rPr>
      </w:pPr>
      <w:r w:rsidRPr="009F3A9E">
        <w:rPr>
          <w:lang w:val="en-US"/>
        </w:rPr>
        <w:t xml:space="preserve">SECTIUNEA I - Reguli generale – cerinţe pentru toate proiectele, se completează cu </w:t>
      </w:r>
      <w:r>
        <w:rPr>
          <w:lang w:val="en-US"/>
        </w:rPr>
        <w:t>alin.</w:t>
      </w:r>
      <w:r w:rsidRPr="009F3A9E">
        <w:rPr>
          <w:lang w:val="en-US"/>
        </w:rPr>
        <w:t xml:space="preserve"> (18), cu următorul conținut:</w:t>
      </w:r>
    </w:p>
    <w:p w:rsidR="0018389D" w:rsidRPr="009F3A9E" w:rsidRDefault="0018389D" w:rsidP="0018389D">
      <w:pPr>
        <w:jc w:val="both"/>
        <w:rPr>
          <w:lang w:val="en-US"/>
        </w:rPr>
      </w:pPr>
    </w:p>
    <w:p w:rsidR="0018389D" w:rsidRPr="009F3A9E" w:rsidRDefault="0018389D" w:rsidP="0018389D">
      <w:pPr>
        <w:jc w:val="both"/>
        <w:rPr>
          <w:lang w:val="en-US"/>
        </w:rPr>
      </w:pPr>
      <w:r>
        <w:rPr>
          <w:lang w:val="en-US"/>
        </w:rPr>
        <w:t xml:space="preserve">(18) </w:t>
      </w:r>
      <w:r w:rsidRPr="006B1B50">
        <w:rPr>
          <w:i/>
          <w:lang w:val="en-US"/>
        </w:rPr>
        <w:t>Dacă este cazul</w:t>
      </w:r>
      <w:r w:rsidRPr="009F3A9E">
        <w:rPr>
          <w:lang w:val="en-US"/>
        </w:rPr>
        <w:t>, Pentru activitatea de promovare a transportului public şi a modurilor nemotorizate de transport, beneficiarul poate realiza următoarele materiale de informare şi comunicare, cu respectarea tuturor condiţiilor şi a specificaţiilor din Anexa 8 - Măsuri de informare și publicitate la contractul de finanţare: afișe, bannere, spoturi audio și video (inclusiv difuzarea acestora), broşuri, pliante, hărţi cu trasee de transport public/moduri nemotorizate de transport.</w:t>
      </w:r>
    </w:p>
    <w:p w:rsidR="0018389D" w:rsidRPr="009F3A9E" w:rsidRDefault="0018389D" w:rsidP="0018389D"/>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bookmarkEnd w:id="0"/>
    <w:p w:rsidR="00643577" w:rsidRPr="009574F1" w:rsidRDefault="00643577" w:rsidP="00643577">
      <w:pPr>
        <w:jc w:val="both"/>
        <w:rPr>
          <w:rFonts w:ascii="Trebuchet MS" w:hAnsi="Trebuchet MS"/>
          <w:sz w:val="20"/>
          <w:szCs w:val="20"/>
        </w:rPr>
      </w:pPr>
    </w:p>
    <w:sectPr w:rsidR="00643577" w:rsidRPr="009574F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568" w:rsidRDefault="00F25568" w:rsidP="009B0858">
      <w:pPr>
        <w:spacing w:after="0" w:line="240" w:lineRule="auto"/>
      </w:pPr>
      <w:r>
        <w:separator/>
      </w:r>
    </w:p>
  </w:endnote>
  <w:endnote w:type="continuationSeparator" w:id="0">
    <w:p w:rsidR="00F25568" w:rsidRDefault="00F25568" w:rsidP="009B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568" w:rsidRDefault="00F25568" w:rsidP="009B0858">
      <w:pPr>
        <w:spacing w:after="0" w:line="240" w:lineRule="auto"/>
      </w:pPr>
      <w:r>
        <w:separator/>
      </w:r>
    </w:p>
  </w:footnote>
  <w:footnote w:type="continuationSeparator" w:id="0">
    <w:p w:rsidR="00F25568" w:rsidRDefault="00F25568" w:rsidP="009B0858">
      <w:pPr>
        <w:spacing w:after="0" w:line="240" w:lineRule="auto"/>
      </w:pPr>
      <w:r>
        <w:continuationSeparator/>
      </w:r>
    </w:p>
  </w:footnote>
  <w:footnote w:id="1">
    <w:p w:rsidR="0018389D" w:rsidRPr="0053529D" w:rsidRDefault="0018389D" w:rsidP="0018389D">
      <w:pPr>
        <w:pStyle w:val="FootnoteText"/>
        <w:jc w:val="both"/>
        <w:rPr>
          <w:lang w:val="en-US"/>
        </w:rPr>
      </w:pPr>
      <w:r>
        <w:rPr>
          <w:rStyle w:val="FootnoteReference"/>
        </w:rPr>
        <w:footnoteRef/>
      </w:r>
      <w:r>
        <w:t xml:space="preserve"> </w:t>
      </w:r>
      <w:r w:rsidRPr="0053529D">
        <w:t>Dacă solicitantul justifică complementaritatea activităţilor proiectului prin alte proiecte/investiţii complementare.</w:t>
      </w:r>
    </w:p>
  </w:footnote>
  <w:footnote w:id="2">
    <w:p w:rsidR="0018389D" w:rsidRPr="00CC041B" w:rsidRDefault="0018389D" w:rsidP="0018389D">
      <w:pPr>
        <w:pStyle w:val="FootnoteText"/>
        <w:jc w:val="both"/>
        <w:rPr>
          <w:lang w:val="en-US"/>
        </w:rPr>
      </w:pPr>
      <w:r>
        <w:rPr>
          <w:rStyle w:val="FootnoteReference"/>
        </w:rPr>
        <w:footnoteRef/>
      </w:r>
      <w:r>
        <w:t xml:space="preserve"> </w:t>
      </w:r>
      <w:r w:rsidRPr="00CC041B">
        <w:t>Dacă prin proiect sunt finanţate activităţi privind construirea/modernizarea/reabilitarea/extinderea traseelor de transport public (rutier-cu autobuze, tramvai, troleibuz, după caz);</w:t>
      </w:r>
    </w:p>
  </w:footnote>
  <w:footnote w:id="3">
    <w:p w:rsidR="0018389D" w:rsidRPr="00CC041B" w:rsidRDefault="0018389D" w:rsidP="0018389D">
      <w:pPr>
        <w:pStyle w:val="FootnoteText"/>
        <w:jc w:val="both"/>
        <w:rPr>
          <w:lang w:val="en-US"/>
        </w:rPr>
      </w:pPr>
      <w:r>
        <w:rPr>
          <w:rStyle w:val="FootnoteReference"/>
        </w:rPr>
        <w:footnoteRef/>
      </w:r>
      <w:r>
        <w:t xml:space="preserve"> </w:t>
      </w:r>
      <w:r w:rsidRPr="00CC041B">
        <w:t xml:space="preserve">Dacă sunt realizate investiţii privind componentele sistemelor de transport public de călători (infrastructură şi mijloace de transport), indiferent dacă sunt aplicabile sau nu prevederile </w:t>
      </w:r>
      <w:r>
        <w:t>de la alin. 7</w:t>
      </w:r>
      <w:r w:rsidRPr="00CC041B">
        <w:t>;</w:t>
      </w:r>
    </w:p>
  </w:footnote>
  <w:footnote w:id="4">
    <w:p w:rsidR="0018389D" w:rsidRPr="005814F7" w:rsidRDefault="0018389D" w:rsidP="0018389D">
      <w:pPr>
        <w:pStyle w:val="FootnoteText"/>
        <w:jc w:val="both"/>
        <w:rPr>
          <w:lang w:val="en-US"/>
        </w:rPr>
      </w:pPr>
      <w:r>
        <w:rPr>
          <w:rStyle w:val="FootnoteReference"/>
        </w:rPr>
        <w:footnoteRef/>
      </w:r>
      <w:r>
        <w:t xml:space="preserve"> </w:t>
      </w:r>
      <w:r w:rsidRPr="005814F7">
        <w:t xml:space="preserve">  În cazul atribuirii directe a contractului/furnizării serviciului;</w:t>
      </w:r>
    </w:p>
  </w:footnote>
  <w:footnote w:id="5">
    <w:p w:rsidR="0018389D" w:rsidRPr="005814F7" w:rsidRDefault="0018389D" w:rsidP="0018389D">
      <w:pPr>
        <w:pStyle w:val="FootnoteText"/>
        <w:jc w:val="both"/>
        <w:rPr>
          <w:lang w:val="en-US"/>
        </w:rPr>
      </w:pPr>
      <w:r>
        <w:rPr>
          <w:rStyle w:val="FootnoteReference"/>
        </w:rPr>
        <w:footnoteRef/>
      </w:r>
      <w:r>
        <w:t xml:space="preserve"> </w:t>
      </w:r>
      <w:r w:rsidRPr="005814F7">
        <w:t>Doar în cazul atribuirii contractelor prin procedură competitivă şi pentru situaţia în care se solicită acordul Comisiei Europene pentru contracte atribuite înainte de 03.12.2009;</w:t>
      </w:r>
    </w:p>
  </w:footnote>
  <w:footnote w:id="6">
    <w:p w:rsidR="0018389D" w:rsidRPr="007539A0" w:rsidRDefault="0018389D" w:rsidP="0018389D">
      <w:pPr>
        <w:pStyle w:val="FootnoteText"/>
        <w:rPr>
          <w:lang w:val="en-US"/>
        </w:rPr>
      </w:pPr>
      <w:r>
        <w:rPr>
          <w:rStyle w:val="FootnoteReference"/>
        </w:rPr>
        <w:footnoteRef/>
      </w:r>
      <w:r>
        <w:t xml:space="preserve"> </w:t>
      </w:r>
      <w:r w:rsidRPr="007539A0">
        <w:t>Odată cu prezentarea contractului de servicii publice/Hotărâre privind darea în administrare;</w:t>
      </w:r>
    </w:p>
  </w:footnote>
  <w:footnote w:id="7">
    <w:p w:rsidR="0018389D" w:rsidRPr="007539A0" w:rsidRDefault="0018389D" w:rsidP="0018389D">
      <w:pPr>
        <w:pStyle w:val="FootnoteText"/>
        <w:rPr>
          <w:lang w:val="en-US"/>
        </w:rPr>
      </w:pPr>
      <w:r>
        <w:rPr>
          <w:rStyle w:val="FootnoteReference"/>
        </w:rPr>
        <w:footnoteRef/>
      </w:r>
      <w:r>
        <w:t xml:space="preserve"> </w:t>
      </w:r>
      <w:r w:rsidRPr="007539A0">
        <w:t>Art</w:t>
      </w:r>
      <w:r>
        <w:t>.</w:t>
      </w:r>
      <w:r w:rsidRPr="007539A0">
        <w:t xml:space="preserve"> 28, alin. (3) privind regiile autonome;</w:t>
      </w:r>
    </w:p>
  </w:footnote>
  <w:footnote w:id="8">
    <w:p w:rsidR="0018389D" w:rsidRPr="007539A0" w:rsidRDefault="0018389D" w:rsidP="0018389D">
      <w:pPr>
        <w:pStyle w:val="FootnoteText"/>
        <w:rPr>
          <w:lang w:val="en-US"/>
        </w:rPr>
      </w:pPr>
      <w:r>
        <w:rPr>
          <w:rStyle w:val="FootnoteReference"/>
        </w:rPr>
        <w:footnoteRef/>
      </w:r>
      <w:r>
        <w:t xml:space="preserve"> </w:t>
      </w:r>
      <w:r w:rsidRPr="007539A0">
        <w:t>Ulterior prezentării contractului de servicii publice;</w:t>
      </w:r>
    </w:p>
  </w:footnote>
  <w:footnote w:id="9">
    <w:p w:rsidR="0018389D" w:rsidRPr="007539A0" w:rsidRDefault="0018389D" w:rsidP="0018389D">
      <w:pPr>
        <w:pStyle w:val="FootnoteText"/>
        <w:rPr>
          <w:lang w:val="en-US"/>
        </w:rPr>
      </w:pPr>
      <w:r>
        <w:rPr>
          <w:rStyle w:val="FootnoteReference"/>
        </w:rPr>
        <w:footnoteRef/>
      </w:r>
      <w:r>
        <w:t xml:space="preserve"> </w:t>
      </w:r>
      <w:r w:rsidRPr="007539A0">
        <w:t>In cazul în care investiţiile vor fi operate de terţe părţi şi/sau vor fi obţinute venituri în urma operării acestora;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9301D4" w:rsidTr="00ED78EA">
      <w:trPr>
        <w:gridAfter w:val="1"/>
        <w:wAfter w:w="1156" w:type="dxa"/>
      </w:trPr>
      <w:tc>
        <w:tcPr>
          <w:tcW w:w="8041" w:type="dxa"/>
          <w:tcBorders>
            <w:top w:val="nil"/>
            <w:left w:val="nil"/>
            <w:bottom w:val="single" w:sz="4" w:space="0" w:color="333333"/>
            <w:right w:val="nil"/>
          </w:tcBorders>
        </w:tcPr>
        <w:p w:rsidR="009301D4" w:rsidRDefault="009301D4" w:rsidP="00ED78EA">
          <w:pPr>
            <w:tabs>
              <w:tab w:val="left" w:pos="5295"/>
            </w:tabs>
            <w:spacing w:after="0" w:line="240" w:lineRule="auto"/>
            <w:rPr>
              <w:rFonts w:ascii="Trebuchet MS" w:eastAsia="Times New Roman" w:hAnsi="Trebuchet MS" w:cs="Arial"/>
              <w:noProof w:val="0"/>
              <w:sz w:val="14"/>
              <w:szCs w:val="24"/>
            </w:rPr>
          </w:pPr>
          <w:r>
            <w:rPr>
              <w:rFonts w:ascii="Trebuchet MS" w:eastAsia="Times New Roman" w:hAnsi="Trebuchet MS" w:cs="Arial"/>
              <w:noProof w:val="0"/>
              <w:sz w:val="14"/>
              <w:szCs w:val="24"/>
            </w:rPr>
            <w:t>Programul Operaţional Regional 2014-2020</w:t>
          </w:r>
          <w:r>
            <w:rPr>
              <w:rFonts w:ascii="Trebuchet MS" w:eastAsia="Times New Roman" w:hAnsi="Trebuchet MS" w:cs="Arial"/>
              <w:noProof w:val="0"/>
              <w:sz w:val="14"/>
              <w:szCs w:val="24"/>
            </w:rPr>
            <w:tab/>
          </w:r>
        </w:p>
        <w:p w:rsidR="009301D4" w:rsidRDefault="009301D4" w:rsidP="00ED78EA">
          <w:pPr>
            <w:tabs>
              <w:tab w:val="center" w:pos="4536"/>
              <w:tab w:val="right" w:pos="9072"/>
            </w:tabs>
            <w:spacing w:after="0" w:line="240" w:lineRule="auto"/>
            <w:rPr>
              <w:rFonts w:ascii="Trebuchet MS" w:eastAsia="Times New Roman" w:hAnsi="Trebuchet MS" w:cs="Arial"/>
              <w:noProof w:val="0"/>
              <w:sz w:val="14"/>
              <w:szCs w:val="24"/>
            </w:rPr>
          </w:pPr>
        </w:p>
      </w:tc>
    </w:tr>
    <w:tr w:rsidR="009301D4" w:rsidTr="00ED78EA">
      <w:trPr>
        <w:cantSplit/>
      </w:trPr>
      <w:tc>
        <w:tcPr>
          <w:tcW w:w="9197" w:type="dxa"/>
          <w:gridSpan w:val="2"/>
          <w:tcBorders>
            <w:top w:val="single" w:sz="4" w:space="0" w:color="333333"/>
            <w:left w:val="nil"/>
            <w:bottom w:val="nil"/>
            <w:right w:val="nil"/>
          </w:tcBorders>
          <w:hideMark/>
        </w:tcPr>
        <w:p w:rsidR="009301D4" w:rsidRDefault="009301D4" w:rsidP="00ED78EA">
          <w:pPr>
            <w:spacing w:after="0" w:line="240" w:lineRule="auto"/>
            <w:jc w:val="right"/>
            <w:rPr>
              <w:rFonts w:ascii="Trebuchet MS" w:eastAsia="Times New Roman" w:hAnsi="Trebuchet MS" w:cs="Times New Roman"/>
              <w:bCs/>
              <w:noProof w:val="0"/>
              <w:sz w:val="14"/>
              <w:szCs w:val="24"/>
              <w:lang w:val="en-US"/>
            </w:rPr>
          </w:pPr>
          <w:proofErr w:type="spellStart"/>
          <w:r>
            <w:rPr>
              <w:rFonts w:ascii="Trebuchet MS" w:eastAsia="Times New Roman" w:hAnsi="Trebuchet MS" w:cs="Times New Roman"/>
              <w:bCs/>
              <w:noProof w:val="0"/>
              <w:sz w:val="14"/>
              <w:szCs w:val="24"/>
              <w:lang w:val="en-US"/>
            </w:rPr>
            <w:t>Ghidul</w:t>
          </w:r>
          <w:proofErr w:type="spellEnd"/>
          <w:r>
            <w:rPr>
              <w:rFonts w:ascii="Trebuchet MS" w:eastAsia="Times New Roman" w:hAnsi="Trebuchet MS" w:cs="Times New Roman"/>
              <w:bCs/>
              <w:noProof w:val="0"/>
              <w:sz w:val="14"/>
              <w:szCs w:val="24"/>
              <w:lang w:val="en-US"/>
            </w:rPr>
            <w:t xml:space="preserve"> </w:t>
          </w:r>
          <w:proofErr w:type="spellStart"/>
          <w:r>
            <w:rPr>
              <w:rFonts w:ascii="Trebuchet MS" w:eastAsia="Times New Roman" w:hAnsi="Trebuchet MS" w:cs="Times New Roman"/>
              <w:bCs/>
              <w:noProof w:val="0"/>
              <w:sz w:val="14"/>
              <w:szCs w:val="24"/>
              <w:lang w:val="en-US"/>
            </w:rPr>
            <w:t>Solicitantului</w:t>
          </w:r>
          <w:proofErr w:type="spellEnd"/>
          <w:r>
            <w:rPr>
              <w:rFonts w:ascii="Trebuchet MS" w:eastAsia="Times New Roman" w:hAnsi="Trebuchet MS" w:cs="Times New Roman"/>
              <w:bCs/>
              <w:noProof w:val="0"/>
              <w:sz w:val="14"/>
              <w:szCs w:val="24"/>
              <w:lang w:val="en-US"/>
            </w:rPr>
            <w:t xml:space="preserve"> – </w:t>
          </w:r>
          <w:proofErr w:type="spellStart"/>
          <w:r>
            <w:rPr>
              <w:rFonts w:ascii="Trebuchet MS" w:eastAsia="Times New Roman" w:hAnsi="Trebuchet MS" w:cs="Times New Roman"/>
              <w:bCs/>
              <w:noProof w:val="0"/>
              <w:sz w:val="14"/>
              <w:szCs w:val="24"/>
              <w:lang w:val="en-US"/>
            </w:rPr>
            <w:t>Condițíi</w:t>
          </w:r>
          <w:proofErr w:type="spellEnd"/>
          <w:r>
            <w:rPr>
              <w:rFonts w:ascii="Trebuchet MS" w:eastAsia="Times New Roman" w:hAnsi="Trebuchet MS" w:cs="Times New Roman"/>
              <w:bCs/>
              <w:noProof w:val="0"/>
              <w:sz w:val="14"/>
              <w:szCs w:val="24"/>
              <w:lang w:val="en-US"/>
            </w:rPr>
            <w:t xml:space="preserve"> </w:t>
          </w:r>
          <w:proofErr w:type="spellStart"/>
          <w:r>
            <w:rPr>
              <w:rFonts w:ascii="Trebuchet MS" w:eastAsia="Times New Roman" w:hAnsi="Trebuchet MS" w:cs="Times New Roman"/>
              <w:bCs/>
              <w:noProof w:val="0"/>
              <w:sz w:val="14"/>
              <w:szCs w:val="24"/>
              <w:lang w:val="en-US"/>
            </w:rPr>
            <w:t>specifice</w:t>
          </w:r>
          <w:proofErr w:type="spellEnd"/>
          <w:r>
            <w:rPr>
              <w:rFonts w:ascii="Trebuchet MS" w:eastAsia="Times New Roman" w:hAnsi="Trebuchet MS" w:cs="Times New Roman"/>
              <w:bCs/>
              <w:noProof w:val="0"/>
              <w:sz w:val="14"/>
              <w:szCs w:val="24"/>
              <w:lang w:val="en-US"/>
            </w:rPr>
            <w:t xml:space="preserve"> de </w:t>
          </w:r>
          <w:proofErr w:type="spellStart"/>
          <w:r>
            <w:rPr>
              <w:rFonts w:ascii="Trebuchet MS" w:eastAsia="Times New Roman" w:hAnsi="Trebuchet MS" w:cs="Times New Roman"/>
              <w:bCs/>
              <w:noProof w:val="0"/>
              <w:sz w:val="14"/>
              <w:szCs w:val="24"/>
              <w:lang w:val="en-US"/>
            </w:rPr>
            <w:t>accesare</w:t>
          </w:r>
          <w:proofErr w:type="spellEnd"/>
          <w:r>
            <w:rPr>
              <w:rFonts w:ascii="Trebuchet MS" w:eastAsia="Times New Roman" w:hAnsi="Trebuchet MS" w:cs="Times New Roman"/>
              <w:bCs/>
              <w:noProof w:val="0"/>
              <w:sz w:val="14"/>
              <w:szCs w:val="24"/>
              <w:lang w:val="en-US"/>
            </w:rPr>
            <w:t xml:space="preserve"> a </w:t>
          </w:r>
          <w:proofErr w:type="spellStart"/>
          <w:r>
            <w:rPr>
              <w:rFonts w:ascii="Trebuchet MS" w:eastAsia="Times New Roman" w:hAnsi="Trebuchet MS" w:cs="Times New Roman"/>
              <w:bCs/>
              <w:noProof w:val="0"/>
              <w:sz w:val="14"/>
              <w:szCs w:val="24"/>
              <w:lang w:val="en-US"/>
            </w:rPr>
            <w:t>fondurilor</w:t>
          </w:r>
          <w:proofErr w:type="spellEnd"/>
          <w:r>
            <w:rPr>
              <w:rFonts w:ascii="Trebuchet MS" w:eastAsia="Times New Roman" w:hAnsi="Trebuchet MS" w:cs="Times New Roman"/>
              <w:bCs/>
              <w:noProof w:val="0"/>
              <w:sz w:val="14"/>
              <w:szCs w:val="24"/>
              <w:lang w:val="en-US"/>
            </w:rPr>
            <w:t xml:space="preserve"> </w:t>
          </w:r>
          <w:proofErr w:type="spellStart"/>
          <w:r>
            <w:rPr>
              <w:rFonts w:ascii="Trebuchet MS" w:eastAsia="Times New Roman" w:hAnsi="Trebuchet MS" w:cs="Times New Roman"/>
              <w:bCs/>
              <w:noProof w:val="0"/>
              <w:sz w:val="14"/>
              <w:szCs w:val="24"/>
              <w:lang w:val="en-US"/>
            </w:rPr>
            <w:t>în</w:t>
          </w:r>
          <w:proofErr w:type="spellEnd"/>
          <w:r>
            <w:rPr>
              <w:rFonts w:ascii="Trebuchet MS" w:eastAsia="Times New Roman" w:hAnsi="Trebuchet MS" w:cs="Times New Roman"/>
              <w:bCs/>
              <w:noProof w:val="0"/>
              <w:sz w:val="14"/>
              <w:szCs w:val="24"/>
              <w:lang w:val="en-US"/>
            </w:rPr>
            <w:t xml:space="preserve"> </w:t>
          </w:r>
          <w:proofErr w:type="spellStart"/>
          <w:r>
            <w:rPr>
              <w:rFonts w:ascii="Trebuchet MS" w:eastAsia="Times New Roman" w:hAnsi="Trebuchet MS" w:cs="Times New Roman"/>
              <w:bCs/>
              <w:noProof w:val="0"/>
              <w:sz w:val="14"/>
              <w:szCs w:val="24"/>
              <w:lang w:val="en-US"/>
            </w:rPr>
            <w:t>cadrul</w:t>
          </w:r>
          <w:proofErr w:type="spellEnd"/>
          <w:r>
            <w:rPr>
              <w:rFonts w:ascii="Trebuchet MS" w:eastAsia="Times New Roman" w:hAnsi="Trebuchet MS" w:cs="Times New Roman"/>
              <w:bCs/>
              <w:noProof w:val="0"/>
              <w:sz w:val="14"/>
              <w:szCs w:val="24"/>
              <w:lang w:val="en-US"/>
            </w:rPr>
            <w:t xml:space="preserve"> </w:t>
          </w:r>
          <w:proofErr w:type="spellStart"/>
          <w:r>
            <w:rPr>
              <w:rFonts w:ascii="Trebuchet MS" w:eastAsia="Times New Roman" w:hAnsi="Trebuchet MS" w:cs="Times New Roman"/>
              <w:bCs/>
              <w:noProof w:val="0"/>
              <w:sz w:val="14"/>
              <w:szCs w:val="24"/>
              <w:lang w:val="en-US"/>
            </w:rPr>
            <w:t>apelurilor</w:t>
          </w:r>
          <w:proofErr w:type="spellEnd"/>
          <w:r>
            <w:rPr>
              <w:rFonts w:ascii="Trebuchet MS" w:eastAsia="Times New Roman" w:hAnsi="Trebuchet MS" w:cs="Times New Roman"/>
              <w:bCs/>
              <w:noProof w:val="0"/>
              <w:sz w:val="14"/>
              <w:szCs w:val="24"/>
              <w:lang w:val="en-US"/>
            </w:rPr>
            <w:t xml:space="preserve"> de </w:t>
          </w:r>
          <w:proofErr w:type="spellStart"/>
          <w:r>
            <w:rPr>
              <w:rFonts w:ascii="Trebuchet MS" w:eastAsia="Times New Roman" w:hAnsi="Trebuchet MS" w:cs="Times New Roman"/>
              <w:bCs/>
              <w:noProof w:val="0"/>
              <w:sz w:val="14"/>
              <w:szCs w:val="24"/>
              <w:lang w:val="en-US"/>
            </w:rPr>
            <w:t>proiecte</w:t>
          </w:r>
          <w:proofErr w:type="spellEnd"/>
          <w:r>
            <w:rPr>
              <w:rFonts w:ascii="Trebuchet MS" w:eastAsia="Times New Roman" w:hAnsi="Trebuchet MS" w:cs="Times New Roman"/>
              <w:bCs/>
              <w:noProof w:val="0"/>
              <w:sz w:val="14"/>
              <w:szCs w:val="24"/>
              <w:lang w:val="en-US"/>
            </w:rPr>
            <w:t xml:space="preserve"> cu </w:t>
          </w:r>
          <w:proofErr w:type="spellStart"/>
          <w:r>
            <w:rPr>
              <w:rFonts w:ascii="Trebuchet MS" w:eastAsia="Times New Roman" w:hAnsi="Trebuchet MS" w:cs="Times New Roman"/>
              <w:bCs/>
              <w:noProof w:val="0"/>
              <w:sz w:val="14"/>
              <w:szCs w:val="24"/>
              <w:lang w:val="en-US"/>
            </w:rPr>
            <w:t>numărul</w:t>
          </w:r>
          <w:proofErr w:type="spellEnd"/>
          <w:r>
            <w:rPr>
              <w:rFonts w:ascii="Trebuchet MS" w:eastAsia="Times New Roman" w:hAnsi="Trebuchet MS" w:cs="Times New Roman"/>
              <w:bCs/>
              <w:noProof w:val="0"/>
              <w:sz w:val="14"/>
              <w:szCs w:val="24"/>
              <w:lang w:val="en-US"/>
            </w:rPr>
            <w:t xml:space="preserve"> POR/2017/3/3.2/1/7 REGIUNI, POR/2017/3/3.2/1/BI </w:t>
          </w:r>
          <w:proofErr w:type="spellStart"/>
          <w:r>
            <w:rPr>
              <w:rFonts w:ascii="Trebuchet MS" w:eastAsia="Times New Roman" w:hAnsi="Trebuchet MS" w:cs="Times New Roman"/>
              <w:bCs/>
              <w:noProof w:val="0"/>
              <w:sz w:val="14"/>
              <w:szCs w:val="24"/>
              <w:lang w:val="en-US"/>
            </w:rPr>
            <w:t>și</w:t>
          </w:r>
          <w:proofErr w:type="spellEnd"/>
          <w:r>
            <w:rPr>
              <w:rFonts w:ascii="Trebuchet MS" w:eastAsia="Times New Roman" w:hAnsi="Trebuchet MS" w:cs="Times New Roman"/>
              <w:bCs/>
              <w:noProof w:val="0"/>
              <w:sz w:val="14"/>
              <w:szCs w:val="24"/>
              <w:lang w:val="en-US"/>
            </w:rPr>
            <w:t xml:space="preserve"> POR/2017/3/3.2/1/ITI</w:t>
          </w:r>
        </w:p>
        <w:p w:rsidR="009301D4" w:rsidRDefault="009301D4" w:rsidP="00ED78EA">
          <w:pPr>
            <w:tabs>
              <w:tab w:val="center" w:pos="4536"/>
              <w:tab w:val="right" w:pos="9072"/>
            </w:tabs>
            <w:spacing w:after="0" w:line="240" w:lineRule="auto"/>
            <w:jc w:val="right"/>
            <w:rPr>
              <w:rFonts w:ascii="Trebuchet MS" w:eastAsia="Times New Roman" w:hAnsi="Trebuchet MS" w:cs="Arial"/>
              <w:bCs/>
              <w:noProof w:val="0"/>
              <w:sz w:val="14"/>
              <w:szCs w:val="24"/>
            </w:rPr>
          </w:pPr>
          <w:r>
            <w:rPr>
              <w:rFonts w:ascii="Trebuchet MS" w:eastAsia="Times New Roman" w:hAnsi="Trebuchet MS" w:cs="Times New Roman"/>
              <w:bCs/>
              <w:noProof w:val="0"/>
              <w:sz w:val="14"/>
              <w:szCs w:val="24"/>
            </w:rPr>
            <w:t xml:space="preserve">  </w:t>
          </w:r>
        </w:p>
      </w:tc>
    </w:tr>
    <w:tr w:rsidR="009301D4" w:rsidTr="00ED78EA">
      <w:trPr>
        <w:cantSplit/>
      </w:trPr>
      <w:tc>
        <w:tcPr>
          <w:tcW w:w="9197" w:type="dxa"/>
          <w:gridSpan w:val="2"/>
          <w:tcBorders>
            <w:top w:val="nil"/>
            <w:left w:val="nil"/>
            <w:bottom w:val="nil"/>
            <w:right w:val="nil"/>
          </w:tcBorders>
        </w:tcPr>
        <w:p w:rsidR="009301D4" w:rsidRDefault="009301D4" w:rsidP="00ED78EA">
          <w:pPr>
            <w:tabs>
              <w:tab w:val="center" w:pos="4536"/>
              <w:tab w:val="right" w:pos="9072"/>
            </w:tabs>
            <w:spacing w:after="0" w:line="240" w:lineRule="auto"/>
            <w:jc w:val="right"/>
            <w:rPr>
              <w:rFonts w:ascii="Trebuchet MS" w:eastAsia="Times New Roman" w:hAnsi="Trebuchet MS" w:cs="Arial"/>
              <w:bCs/>
              <w:noProof w:val="0"/>
              <w:sz w:val="14"/>
              <w:szCs w:val="24"/>
            </w:rPr>
          </w:pPr>
          <w:r>
            <w:rPr>
              <w:rFonts w:ascii="Trebuchet MS" w:eastAsia="Times New Roman" w:hAnsi="Trebuchet MS" w:cs="Arial"/>
              <w:bCs/>
              <w:noProof w:val="0"/>
              <w:sz w:val="14"/>
              <w:szCs w:val="24"/>
            </w:rPr>
            <w:t>Anexa 3.2.5</w:t>
          </w:r>
        </w:p>
        <w:p w:rsidR="009301D4" w:rsidRDefault="009301D4" w:rsidP="00ED78EA">
          <w:pPr>
            <w:tabs>
              <w:tab w:val="center" w:pos="4536"/>
              <w:tab w:val="right" w:pos="9072"/>
            </w:tabs>
            <w:spacing w:after="0" w:line="240" w:lineRule="auto"/>
            <w:jc w:val="right"/>
            <w:rPr>
              <w:rFonts w:ascii="Trebuchet MS" w:eastAsia="Times New Roman" w:hAnsi="Trebuchet MS" w:cs="Arial"/>
              <w:bCs/>
              <w:noProof w:val="0"/>
              <w:sz w:val="14"/>
              <w:szCs w:val="24"/>
            </w:rPr>
          </w:pPr>
        </w:p>
      </w:tc>
    </w:tr>
  </w:tbl>
  <w:p w:rsidR="009301D4" w:rsidRPr="00E555F2" w:rsidRDefault="009301D4" w:rsidP="009301D4">
    <w:pPr>
      <w:pStyle w:val="Header"/>
    </w:pPr>
  </w:p>
  <w:p w:rsidR="009B0858" w:rsidRDefault="009B08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02D7"/>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853BB6"/>
    <w:multiLevelType w:val="hybridMultilevel"/>
    <w:tmpl w:val="F7EEFEB6"/>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F707DC3"/>
    <w:multiLevelType w:val="hybridMultilevel"/>
    <w:tmpl w:val="CD886D08"/>
    <w:lvl w:ilvl="0" w:tplc="4B10319A">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E33109E"/>
    <w:multiLevelType w:val="hybridMultilevel"/>
    <w:tmpl w:val="ADA4E4D0"/>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330B5DFC"/>
    <w:multiLevelType w:val="hybridMultilevel"/>
    <w:tmpl w:val="CD886D08"/>
    <w:lvl w:ilvl="0" w:tplc="4B10319A">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6FCF1DFF"/>
    <w:multiLevelType w:val="hybridMultilevel"/>
    <w:tmpl w:val="7B36655C"/>
    <w:lvl w:ilvl="0" w:tplc="1944B2AC">
      <w:start w:val="1"/>
      <w:numFmt w:val="decimal"/>
      <w:lvlText w:val="(%1)"/>
      <w:lvlJc w:val="left"/>
      <w:pPr>
        <w:ind w:left="786"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A1"/>
    <w:rsid w:val="000014A2"/>
    <w:rsid w:val="00001508"/>
    <w:rsid w:val="00002884"/>
    <w:rsid w:val="0000568B"/>
    <w:rsid w:val="00006A1E"/>
    <w:rsid w:val="00014528"/>
    <w:rsid w:val="0001670E"/>
    <w:rsid w:val="00020255"/>
    <w:rsid w:val="000277EB"/>
    <w:rsid w:val="000326C1"/>
    <w:rsid w:val="000443B5"/>
    <w:rsid w:val="00044ED2"/>
    <w:rsid w:val="000465BB"/>
    <w:rsid w:val="00053B1D"/>
    <w:rsid w:val="00056065"/>
    <w:rsid w:val="000577FC"/>
    <w:rsid w:val="0006318B"/>
    <w:rsid w:val="00063CF7"/>
    <w:rsid w:val="00064B02"/>
    <w:rsid w:val="00065CEC"/>
    <w:rsid w:val="0007409D"/>
    <w:rsid w:val="00075A4B"/>
    <w:rsid w:val="00081B9A"/>
    <w:rsid w:val="0008258D"/>
    <w:rsid w:val="00085F89"/>
    <w:rsid w:val="0009030A"/>
    <w:rsid w:val="000917E2"/>
    <w:rsid w:val="000940B1"/>
    <w:rsid w:val="0009434A"/>
    <w:rsid w:val="0009572F"/>
    <w:rsid w:val="00096AD0"/>
    <w:rsid w:val="00097988"/>
    <w:rsid w:val="000A0791"/>
    <w:rsid w:val="000A56C6"/>
    <w:rsid w:val="000A5912"/>
    <w:rsid w:val="000A74AF"/>
    <w:rsid w:val="000B7704"/>
    <w:rsid w:val="000C0954"/>
    <w:rsid w:val="000D3A24"/>
    <w:rsid w:val="000D5157"/>
    <w:rsid w:val="000E3708"/>
    <w:rsid w:val="000E4412"/>
    <w:rsid w:val="000E582E"/>
    <w:rsid w:val="000E5A4E"/>
    <w:rsid w:val="000F11E3"/>
    <w:rsid w:val="000F410A"/>
    <w:rsid w:val="000F5835"/>
    <w:rsid w:val="001011C1"/>
    <w:rsid w:val="00102A40"/>
    <w:rsid w:val="00104A1A"/>
    <w:rsid w:val="00104E9C"/>
    <w:rsid w:val="001129F8"/>
    <w:rsid w:val="00117243"/>
    <w:rsid w:val="00120AC8"/>
    <w:rsid w:val="00125870"/>
    <w:rsid w:val="00134BE3"/>
    <w:rsid w:val="00136CA7"/>
    <w:rsid w:val="00136EEA"/>
    <w:rsid w:val="00141117"/>
    <w:rsid w:val="00141CE1"/>
    <w:rsid w:val="00150044"/>
    <w:rsid w:val="00160C94"/>
    <w:rsid w:val="00160F25"/>
    <w:rsid w:val="00166095"/>
    <w:rsid w:val="001668BB"/>
    <w:rsid w:val="00171765"/>
    <w:rsid w:val="001760C7"/>
    <w:rsid w:val="00181295"/>
    <w:rsid w:val="00181EA8"/>
    <w:rsid w:val="00182362"/>
    <w:rsid w:val="0018389D"/>
    <w:rsid w:val="00185604"/>
    <w:rsid w:val="0018651E"/>
    <w:rsid w:val="00187653"/>
    <w:rsid w:val="0019115C"/>
    <w:rsid w:val="0019485D"/>
    <w:rsid w:val="001A0846"/>
    <w:rsid w:val="001A15D0"/>
    <w:rsid w:val="001A2557"/>
    <w:rsid w:val="001A3ACA"/>
    <w:rsid w:val="001A5608"/>
    <w:rsid w:val="001B2EF0"/>
    <w:rsid w:val="001B395D"/>
    <w:rsid w:val="001B52B2"/>
    <w:rsid w:val="001C063A"/>
    <w:rsid w:val="001C384A"/>
    <w:rsid w:val="001C3D5D"/>
    <w:rsid w:val="001D0372"/>
    <w:rsid w:val="001D17ED"/>
    <w:rsid w:val="001D2321"/>
    <w:rsid w:val="001D285A"/>
    <w:rsid w:val="001D2AFB"/>
    <w:rsid w:val="001D4403"/>
    <w:rsid w:val="001D4E5C"/>
    <w:rsid w:val="001D5DC6"/>
    <w:rsid w:val="001E7F70"/>
    <w:rsid w:val="001F2B82"/>
    <w:rsid w:val="001F7875"/>
    <w:rsid w:val="00200D85"/>
    <w:rsid w:val="00201AEA"/>
    <w:rsid w:val="00204ACE"/>
    <w:rsid w:val="00210971"/>
    <w:rsid w:val="002131AD"/>
    <w:rsid w:val="00214390"/>
    <w:rsid w:val="0021643E"/>
    <w:rsid w:val="002237A1"/>
    <w:rsid w:val="00226F6C"/>
    <w:rsid w:val="002311DC"/>
    <w:rsid w:val="00232162"/>
    <w:rsid w:val="002353B0"/>
    <w:rsid w:val="0024003F"/>
    <w:rsid w:val="00240612"/>
    <w:rsid w:val="00241308"/>
    <w:rsid w:val="00241B42"/>
    <w:rsid w:val="00243A17"/>
    <w:rsid w:val="0024652D"/>
    <w:rsid w:val="00247135"/>
    <w:rsid w:val="00247466"/>
    <w:rsid w:val="002500D3"/>
    <w:rsid w:val="00251015"/>
    <w:rsid w:val="00251C9B"/>
    <w:rsid w:val="00251F08"/>
    <w:rsid w:val="00253CA9"/>
    <w:rsid w:val="002569BB"/>
    <w:rsid w:val="00256A15"/>
    <w:rsid w:val="002604BF"/>
    <w:rsid w:val="00261B85"/>
    <w:rsid w:val="00264E82"/>
    <w:rsid w:val="0026583D"/>
    <w:rsid w:val="00275F81"/>
    <w:rsid w:val="0028218A"/>
    <w:rsid w:val="00282316"/>
    <w:rsid w:val="002831FB"/>
    <w:rsid w:val="0028344C"/>
    <w:rsid w:val="00290777"/>
    <w:rsid w:val="00294B74"/>
    <w:rsid w:val="00294F83"/>
    <w:rsid w:val="00295284"/>
    <w:rsid w:val="00295A24"/>
    <w:rsid w:val="00295CFC"/>
    <w:rsid w:val="002961A9"/>
    <w:rsid w:val="002A16B8"/>
    <w:rsid w:val="002A467B"/>
    <w:rsid w:val="002A4FEB"/>
    <w:rsid w:val="002B0A27"/>
    <w:rsid w:val="002B1EA3"/>
    <w:rsid w:val="002B3361"/>
    <w:rsid w:val="002B7AC6"/>
    <w:rsid w:val="002C0079"/>
    <w:rsid w:val="002C1F5C"/>
    <w:rsid w:val="002C60D7"/>
    <w:rsid w:val="002C7B8F"/>
    <w:rsid w:val="002D31F1"/>
    <w:rsid w:val="002D52C7"/>
    <w:rsid w:val="002D67C0"/>
    <w:rsid w:val="002D72BC"/>
    <w:rsid w:val="002D791B"/>
    <w:rsid w:val="002E087B"/>
    <w:rsid w:val="002E3904"/>
    <w:rsid w:val="002E48D8"/>
    <w:rsid w:val="002F2F8A"/>
    <w:rsid w:val="002F3B5E"/>
    <w:rsid w:val="002F5434"/>
    <w:rsid w:val="002F71AA"/>
    <w:rsid w:val="00301DDD"/>
    <w:rsid w:val="00302280"/>
    <w:rsid w:val="00305247"/>
    <w:rsid w:val="00310526"/>
    <w:rsid w:val="00312C2E"/>
    <w:rsid w:val="00313D1A"/>
    <w:rsid w:val="003151C2"/>
    <w:rsid w:val="003160A1"/>
    <w:rsid w:val="003160E8"/>
    <w:rsid w:val="003211B5"/>
    <w:rsid w:val="00321A4E"/>
    <w:rsid w:val="00334FEA"/>
    <w:rsid w:val="00336B0E"/>
    <w:rsid w:val="003435BB"/>
    <w:rsid w:val="00345627"/>
    <w:rsid w:val="00346FE6"/>
    <w:rsid w:val="0035119E"/>
    <w:rsid w:val="00355C5A"/>
    <w:rsid w:val="00356D65"/>
    <w:rsid w:val="00361279"/>
    <w:rsid w:val="0036484A"/>
    <w:rsid w:val="00367437"/>
    <w:rsid w:val="003738F8"/>
    <w:rsid w:val="0037417A"/>
    <w:rsid w:val="00374F50"/>
    <w:rsid w:val="003769F5"/>
    <w:rsid w:val="003804CB"/>
    <w:rsid w:val="0038098F"/>
    <w:rsid w:val="0038288F"/>
    <w:rsid w:val="003841AD"/>
    <w:rsid w:val="0039184D"/>
    <w:rsid w:val="00392A64"/>
    <w:rsid w:val="00396FB1"/>
    <w:rsid w:val="00397200"/>
    <w:rsid w:val="003972EC"/>
    <w:rsid w:val="003A2053"/>
    <w:rsid w:val="003A3917"/>
    <w:rsid w:val="003A3BFF"/>
    <w:rsid w:val="003A45C2"/>
    <w:rsid w:val="003A552D"/>
    <w:rsid w:val="003A63A7"/>
    <w:rsid w:val="003A7131"/>
    <w:rsid w:val="003B3859"/>
    <w:rsid w:val="003B483E"/>
    <w:rsid w:val="003B4BA8"/>
    <w:rsid w:val="003B6A61"/>
    <w:rsid w:val="003C0A88"/>
    <w:rsid w:val="003C1304"/>
    <w:rsid w:val="003C3EED"/>
    <w:rsid w:val="003C4591"/>
    <w:rsid w:val="003C5308"/>
    <w:rsid w:val="003C7249"/>
    <w:rsid w:val="003D0A04"/>
    <w:rsid w:val="003D16A0"/>
    <w:rsid w:val="003D3EB1"/>
    <w:rsid w:val="003D4690"/>
    <w:rsid w:val="003D650C"/>
    <w:rsid w:val="003D744E"/>
    <w:rsid w:val="003F2555"/>
    <w:rsid w:val="003F714A"/>
    <w:rsid w:val="003F7569"/>
    <w:rsid w:val="00401BC3"/>
    <w:rsid w:val="0041053E"/>
    <w:rsid w:val="00413968"/>
    <w:rsid w:val="00413D33"/>
    <w:rsid w:val="00414246"/>
    <w:rsid w:val="004147D0"/>
    <w:rsid w:val="004151E7"/>
    <w:rsid w:val="00420049"/>
    <w:rsid w:val="00420F11"/>
    <w:rsid w:val="004277D1"/>
    <w:rsid w:val="00427B15"/>
    <w:rsid w:val="00432965"/>
    <w:rsid w:val="00434D9E"/>
    <w:rsid w:val="0043733F"/>
    <w:rsid w:val="0044028D"/>
    <w:rsid w:val="00441971"/>
    <w:rsid w:val="004425B0"/>
    <w:rsid w:val="00442FC1"/>
    <w:rsid w:val="00443E1D"/>
    <w:rsid w:val="004447AA"/>
    <w:rsid w:val="00453CF9"/>
    <w:rsid w:val="00454E0B"/>
    <w:rsid w:val="00460D42"/>
    <w:rsid w:val="00462555"/>
    <w:rsid w:val="004665C6"/>
    <w:rsid w:val="0046700C"/>
    <w:rsid w:val="00472661"/>
    <w:rsid w:val="0047344D"/>
    <w:rsid w:val="00474169"/>
    <w:rsid w:val="00477DC1"/>
    <w:rsid w:val="00480E9C"/>
    <w:rsid w:val="00482594"/>
    <w:rsid w:val="00491B73"/>
    <w:rsid w:val="00493906"/>
    <w:rsid w:val="004941A7"/>
    <w:rsid w:val="00495F3E"/>
    <w:rsid w:val="004A0DD0"/>
    <w:rsid w:val="004A3D54"/>
    <w:rsid w:val="004B18A0"/>
    <w:rsid w:val="004B1F27"/>
    <w:rsid w:val="004B3BC6"/>
    <w:rsid w:val="004B7F88"/>
    <w:rsid w:val="004C106B"/>
    <w:rsid w:val="004C1F41"/>
    <w:rsid w:val="004C2C9E"/>
    <w:rsid w:val="004C2D6D"/>
    <w:rsid w:val="004C3D19"/>
    <w:rsid w:val="004C65F3"/>
    <w:rsid w:val="004D0D45"/>
    <w:rsid w:val="004D2D19"/>
    <w:rsid w:val="004E01FD"/>
    <w:rsid w:val="004E0A3C"/>
    <w:rsid w:val="004E3B9D"/>
    <w:rsid w:val="004E76F0"/>
    <w:rsid w:val="004F168B"/>
    <w:rsid w:val="004F3DC9"/>
    <w:rsid w:val="004F4C75"/>
    <w:rsid w:val="004F7C6A"/>
    <w:rsid w:val="00504A67"/>
    <w:rsid w:val="00506499"/>
    <w:rsid w:val="005065AE"/>
    <w:rsid w:val="00506B10"/>
    <w:rsid w:val="005301B4"/>
    <w:rsid w:val="00531062"/>
    <w:rsid w:val="00531945"/>
    <w:rsid w:val="005337FC"/>
    <w:rsid w:val="00533AA3"/>
    <w:rsid w:val="00535B16"/>
    <w:rsid w:val="00541AC6"/>
    <w:rsid w:val="00541F5A"/>
    <w:rsid w:val="0054797C"/>
    <w:rsid w:val="0055125E"/>
    <w:rsid w:val="00554B8A"/>
    <w:rsid w:val="00555C92"/>
    <w:rsid w:val="005647D1"/>
    <w:rsid w:val="005727F1"/>
    <w:rsid w:val="005744DC"/>
    <w:rsid w:val="00576DC7"/>
    <w:rsid w:val="0058333E"/>
    <w:rsid w:val="005838EB"/>
    <w:rsid w:val="00590E3C"/>
    <w:rsid w:val="0059501C"/>
    <w:rsid w:val="005951E8"/>
    <w:rsid w:val="005964EB"/>
    <w:rsid w:val="005A1C04"/>
    <w:rsid w:val="005A28D8"/>
    <w:rsid w:val="005A6457"/>
    <w:rsid w:val="005A7418"/>
    <w:rsid w:val="005B0CD6"/>
    <w:rsid w:val="005B1DB7"/>
    <w:rsid w:val="005B30EA"/>
    <w:rsid w:val="005B34D8"/>
    <w:rsid w:val="005B3EF9"/>
    <w:rsid w:val="005B5D56"/>
    <w:rsid w:val="005B6B2C"/>
    <w:rsid w:val="005C091D"/>
    <w:rsid w:val="005C130A"/>
    <w:rsid w:val="005C68F3"/>
    <w:rsid w:val="005C6B99"/>
    <w:rsid w:val="005C710B"/>
    <w:rsid w:val="005D22F9"/>
    <w:rsid w:val="005D7997"/>
    <w:rsid w:val="005D7B41"/>
    <w:rsid w:val="005E18D6"/>
    <w:rsid w:val="005E1F76"/>
    <w:rsid w:val="005E39EC"/>
    <w:rsid w:val="005E64D1"/>
    <w:rsid w:val="005F23CA"/>
    <w:rsid w:val="005F3508"/>
    <w:rsid w:val="005F42F8"/>
    <w:rsid w:val="005F456E"/>
    <w:rsid w:val="005F7569"/>
    <w:rsid w:val="00601CC7"/>
    <w:rsid w:val="00604099"/>
    <w:rsid w:val="0060670B"/>
    <w:rsid w:val="00607571"/>
    <w:rsid w:val="00617AF9"/>
    <w:rsid w:val="00617C32"/>
    <w:rsid w:val="006261F9"/>
    <w:rsid w:val="006273C2"/>
    <w:rsid w:val="0063107B"/>
    <w:rsid w:val="00632C57"/>
    <w:rsid w:val="00633AAE"/>
    <w:rsid w:val="00642B94"/>
    <w:rsid w:val="00643320"/>
    <w:rsid w:val="00643577"/>
    <w:rsid w:val="00644E3E"/>
    <w:rsid w:val="00650242"/>
    <w:rsid w:val="00650303"/>
    <w:rsid w:val="00651A2B"/>
    <w:rsid w:val="006565E6"/>
    <w:rsid w:val="00665FC1"/>
    <w:rsid w:val="0067014D"/>
    <w:rsid w:val="00670BA6"/>
    <w:rsid w:val="00674273"/>
    <w:rsid w:val="00677D2F"/>
    <w:rsid w:val="0068021E"/>
    <w:rsid w:val="006848C1"/>
    <w:rsid w:val="00686B92"/>
    <w:rsid w:val="0068737B"/>
    <w:rsid w:val="0069033E"/>
    <w:rsid w:val="00690853"/>
    <w:rsid w:val="00690B9D"/>
    <w:rsid w:val="00691DED"/>
    <w:rsid w:val="0069270B"/>
    <w:rsid w:val="00694438"/>
    <w:rsid w:val="00694F22"/>
    <w:rsid w:val="006973EB"/>
    <w:rsid w:val="006A19B2"/>
    <w:rsid w:val="006A1F1E"/>
    <w:rsid w:val="006A45C1"/>
    <w:rsid w:val="006A69FD"/>
    <w:rsid w:val="006B15A8"/>
    <w:rsid w:val="006B1B50"/>
    <w:rsid w:val="006B2E6E"/>
    <w:rsid w:val="006B3E6A"/>
    <w:rsid w:val="006C3431"/>
    <w:rsid w:val="006C3829"/>
    <w:rsid w:val="006D149E"/>
    <w:rsid w:val="006D6E85"/>
    <w:rsid w:val="006E562A"/>
    <w:rsid w:val="006F1C92"/>
    <w:rsid w:val="006F2393"/>
    <w:rsid w:val="006F38DF"/>
    <w:rsid w:val="007040C3"/>
    <w:rsid w:val="0070746D"/>
    <w:rsid w:val="00715773"/>
    <w:rsid w:val="007176AD"/>
    <w:rsid w:val="00717E6B"/>
    <w:rsid w:val="00723473"/>
    <w:rsid w:val="00723DB2"/>
    <w:rsid w:val="007241C1"/>
    <w:rsid w:val="007309BD"/>
    <w:rsid w:val="00730DB7"/>
    <w:rsid w:val="00734D2C"/>
    <w:rsid w:val="00735AC4"/>
    <w:rsid w:val="0074293E"/>
    <w:rsid w:val="0074575F"/>
    <w:rsid w:val="007467DF"/>
    <w:rsid w:val="00750F8A"/>
    <w:rsid w:val="00753A9A"/>
    <w:rsid w:val="00754E70"/>
    <w:rsid w:val="00756A37"/>
    <w:rsid w:val="00757018"/>
    <w:rsid w:val="00766F1E"/>
    <w:rsid w:val="00770104"/>
    <w:rsid w:val="007704DB"/>
    <w:rsid w:val="00770881"/>
    <w:rsid w:val="00771A12"/>
    <w:rsid w:val="007722C5"/>
    <w:rsid w:val="00772F62"/>
    <w:rsid w:val="00774516"/>
    <w:rsid w:val="007826B7"/>
    <w:rsid w:val="00783572"/>
    <w:rsid w:val="007850FD"/>
    <w:rsid w:val="007866CF"/>
    <w:rsid w:val="00786D21"/>
    <w:rsid w:val="00786DA8"/>
    <w:rsid w:val="00792136"/>
    <w:rsid w:val="00794F4C"/>
    <w:rsid w:val="007958C3"/>
    <w:rsid w:val="00795BED"/>
    <w:rsid w:val="00795C45"/>
    <w:rsid w:val="007A0ABB"/>
    <w:rsid w:val="007A31CB"/>
    <w:rsid w:val="007B1DC0"/>
    <w:rsid w:val="007B3BCA"/>
    <w:rsid w:val="007B7448"/>
    <w:rsid w:val="007B7B32"/>
    <w:rsid w:val="007B7C5D"/>
    <w:rsid w:val="007B7E23"/>
    <w:rsid w:val="007C4B34"/>
    <w:rsid w:val="007D0206"/>
    <w:rsid w:val="007D110D"/>
    <w:rsid w:val="007D3309"/>
    <w:rsid w:val="007D3664"/>
    <w:rsid w:val="007D72E0"/>
    <w:rsid w:val="007E048F"/>
    <w:rsid w:val="007E142A"/>
    <w:rsid w:val="007E223B"/>
    <w:rsid w:val="007E3C67"/>
    <w:rsid w:val="007E3F29"/>
    <w:rsid w:val="007E4080"/>
    <w:rsid w:val="007E5718"/>
    <w:rsid w:val="007E7296"/>
    <w:rsid w:val="007F2238"/>
    <w:rsid w:val="007F26A1"/>
    <w:rsid w:val="007F4310"/>
    <w:rsid w:val="007F5407"/>
    <w:rsid w:val="00800414"/>
    <w:rsid w:val="00801362"/>
    <w:rsid w:val="008015C1"/>
    <w:rsid w:val="00801C98"/>
    <w:rsid w:val="00814B10"/>
    <w:rsid w:val="008164D1"/>
    <w:rsid w:val="00821E34"/>
    <w:rsid w:val="008225E0"/>
    <w:rsid w:val="00830E44"/>
    <w:rsid w:val="0083196C"/>
    <w:rsid w:val="00831C7A"/>
    <w:rsid w:val="00833526"/>
    <w:rsid w:val="00836DA7"/>
    <w:rsid w:val="0083708C"/>
    <w:rsid w:val="00837792"/>
    <w:rsid w:val="0084026E"/>
    <w:rsid w:val="00841CA2"/>
    <w:rsid w:val="00842905"/>
    <w:rsid w:val="0085197E"/>
    <w:rsid w:val="008556A3"/>
    <w:rsid w:val="008573A4"/>
    <w:rsid w:val="00861F65"/>
    <w:rsid w:val="008638C0"/>
    <w:rsid w:val="00864650"/>
    <w:rsid w:val="008654F5"/>
    <w:rsid w:val="00865956"/>
    <w:rsid w:val="008665D3"/>
    <w:rsid w:val="00867639"/>
    <w:rsid w:val="00871588"/>
    <w:rsid w:val="0087689C"/>
    <w:rsid w:val="00877747"/>
    <w:rsid w:val="00881954"/>
    <w:rsid w:val="00884786"/>
    <w:rsid w:val="0088541A"/>
    <w:rsid w:val="008857E3"/>
    <w:rsid w:val="00886B4B"/>
    <w:rsid w:val="00887398"/>
    <w:rsid w:val="008904C4"/>
    <w:rsid w:val="00892D7A"/>
    <w:rsid w:val="00895711"/>
    <w:rsid w:val="00895FFE"/>
    <w:rsid w:val="00897061"/>
    <w:rsid w:val="008A603C"/>
    <w:rsid w:val="008A7387"/>
    <w:rsid w:val="008C1A33"/>
    <w:rsid w:val="008C29AF"/>
    <w:rsid w:val="008C4A2C"/>
    <w:rsid w:val="008C6B09"/>
    <w:rsid w:val="008D378B"/>
    <w:rsid w:val="008D49BB"/>
    <w:rsid w:val="008D4E84"/>
    <w:rsid w:val="008E175C"/>
    <w:rsid w:val="008E2516"/>
    <w:rsid w:val="008E41B6"/>
    <w:rsid w:val="008E5E02"/>
    <w:rsid w:val="008E65E2"/>
    <w:rsid w:val="008E6C18"/>
    <w:rsid w:val="008E7700"/>
    <w:rsid w:val="008F0BCA"/>
    <w:rsid w:val="008F135F"/>
    <w:rsid w:val="008F2B14"/>
    <w:rsid w:val="008F2F43"/>
    <w:rsid w:val="008F3226"/>
    <w:rsid w:val="008F3A0C"/>
    <w:rsid w:val="008F4910"/>
    <w:rsid w:val="008F5039"/>
    <w:rsid w:val="00901C46"/>
    <w:rsid w:val="00901C5F"/>
    <w:rsid w:val="009037BA"/>
    <w:rsid w:val="00905E5C"/>
    <w:rsid w:val="00907F07"/>
    <w:rsid w:val="00910799"/>
    <w:rsid w:val="00910CB2"/>
    <w:rsid w:val="00911423"/>
    <w:rsid w:val="009121CC"/>
    <w:rsid w:val="00914AA0"/>
    <w:rsid w:val="00916B98"/>
    <w:rsid w:val="00916BB8"/>
    <w:rsid w:val="009176C8"/>
    <w:rsid w:val="009211DF"/>
    <w:rsid w:val="00926CAA"/>
    <w:rsid w:val="009301D4"/>
    <w:rsid w:val="009307AC"/>
    <w:rsid w:val="0093250C"/>
    <w:rsid w:val="009341D0"/>
    <w:rsid w:val="00934E42"/>
    <w:rsid w:val="00940638"/>
    <w:rsid w:val="00941CBA"/>
    <w:rsid w:val="00942A43"/>
    <w:rsid w:val="0094785F"/>
    <w:rsid w:val="009574F1"/>
    <w:rsid w:val="009602D0"/>
    <w:rsid w:val="0096349A"/>
    <w:rsid w:val="00963FEE"/>
    <w:rsid w:val="00965BCD"/>
    <w:rsid w:val="00970257"/>
    <w:rsid w:val="00973937"/>
    <w:rsid w:val="00980D01"/>
    <w:rsid w:val="00982BA8"/>
    <w:rsid w:val="00984204"/>
    <w:rsid w:val="00986519"/>
    <w:rsid w:val="00990019"/>
    <w:rsid w:val="00995135"/>
    <w:rsid w:val="00996699"/>
    <w:rsid w:val="00996E00"/>
    <w:rsid w:val="00996E97"/>
    <w:rsid w:val="009A333C"/>
    <w:rsid w:val="009A3D54"/>
    <w:rsid w:val="009A3FDD"/>
    <w:rsid w:val="009A74A5"/>
    <w:rsid w:val="009B0317"/>
    <w:rsid w:val="009B0858"/>
    <w:rsid w:val="009B6535"/>
    <w:rsid w:val="009C01FE"/>
    <w:rsid w:val="009C27A1"/>
    <w:rsid w:val="009C6827"/>
    <w:rsid w:val="009D08E3"/>
    <w:rsid w:val="009D125E"/>
    <w:rsid w:val="009D2F55"/>
    <w:rsid w:val="009D551F"/>
    <w:rsid w:val="009D7EC4"/>
    <w:rsid w:val="009E1F35"/>
    <w:rsid w:val="009E405A"/>
    <w:rsid w:val="009E555F"/>
    <w:rsid w:val="009E600B"/>
    <w:rsid w:val="009F01B0"/>
    <w:rsid w:val="009F0F05"/>
    <w:rsid w:val="009F5352"/>
    <w:rsid w:val="009F6B8B"/>
    <w:rsid w:val="00A02ABE"/>
    <w:rsid w:val="00A10216"/>
    <w:rsid w:val="00A12589"/>
    <w:rsid w:val="00A14CA7"/>
    <w:rsid w:val="00A153B5"/>
    <w:rsid w:val="00A17AF8"/>
    <w:rsid w:val="00A22A9B"/>
    <w:rsid w:val="00A23D5A"/>
    <w:rsid w:val="00A254F2"/>
    <w:rsid w:val="00A27E76"/>
    <w:rsid w:val="00A30DE7"/>
    <w:rsid w:val="00A31971"/>
    <w:rsid w:val="00A3582A"/>
    <w:rsid w:val="00A41103"/>
    <w:rsid w:val="00A41500"/>
    <w:rsid w:val="00A46726"/>
    <w:rsid w:val="00A515FA"/>
    <w:rsid w:val="00A51C70"/>
    <w:rsid w:val="00A56379"/>
    <w:rsid w:val="00A63105"/>
    <w:rsid w:val="00A631D5"/>
    <w:rsid w:val="00A665AF"/>
    <w:rsid w:val="00A704FF"/>
    <w:rsid w:val="00A730EE"/>
    <w:rsid w:val="00A85C6A"/>
    <w:rsid w:val="00A916E9"/>
    <w:rsid w:val="00A9627F"/>
    <w:rsid w:val="00A976ED"/>
    <w:rsid w:val="00AA0FAE"/>
    <w:rsid w:val="00AA169D"/>
    <w:rsid w:val="00AA674C"/>
    <w:rsid w:val="00AB2BFC"/>
    <w:rsid w:val="00AB5974"/>
    <w:rsid w:val="00AB7BF8"/>
    <w:rsid w:val="00AC029D"/>
    <w:rsid w:val="00AC605A"/>
    <w:rsid w:val="00AD4443"/>
    <w:rsid w:val="00AD642D"/>
    <w:rsid w:val="00AD7951"/>
    <w:rsid w:val="00AE200C"/>
    <w:rsid w:val="00AE30CD"/>
    <w:rsid w:val="00AE3636"/>
    <w:rsid w:val="00AE3B78"/>
    <w:rsid w:val="00AE50BA"/>
    <w:rsid w:val="00AF01D8"/>
    <w:rsid w:val="00AF1D72"/>
    <w:rsid w:val="00AF36B0"/>
    <w:rsid w:val="00AF5BBE"/>
    <w:rsid w:val="00B021A5"/>
    <w:rsid w:val="00B0248F"/>
    <w:rsid w:val="00B04BD2"/>
    <w:rsid w:val="00B0790E"/>
    <w:rsid w:val="00B11B64"/>
    <w:rsid w:val="00B128DA"/>
    <w:rsid w:val="00B1334E"/>
    <w:rsid w:val="00B1409E"/>
    <w:rsid w:val="00B25390"/>
    <w:rsid w:val="00B34672"/>
    <w:rsid w:val="00B3544B"/>
    <w:rsid w:val="00B47E5F"/>
    <w:rsid w:val="00B524D5"/>
    <w:rsid w:val="00B55F86"/>
    <w:rsid w:val="00B56430"/>
    <w:rsid w:val="00B564ED"/>
    <w:rsid w:val="00B57022"/>
    <w:rsid w:val="00B578AE"/>
    <w:rsid w:val="00B631C2"/>
    <w:rsid w:val="00B63524"/>
    <w:rsid w:val="00B63A99"/>
    <w:rsid w:val="00B67CEC"/>
    <w:rsid w:val="00B67EB5"/>
    <w:rsid w:val="00B74C0D"/>
    <w:rsid w:val="00B763D7"/>
    <w:rsid w:val="00B80216"/>
    <w:rsid w:val="00B80289"/>
    <w:rsid w:val="00B80DE7"/>
    <w:rsid w:val="00B80F58"/>
    <w:rsid w:val="00B8171C"/>
    <w:rsid w:val="00B82C14"/>
    <w:rsid w:val="00B836B8"/>
    <w:rsid w:val="00B921B0"/>
    <w:rsid w:val="00B9578C"/>
    <w:rsid w:val="00B95E5E"/>
    <w:rsid w:val="00BA1969"/>
    <w:rsid w:val="00BA20C5"/>
    <w:rsid w:val="00BA4083"/>
    <w:rsid w:val="00BA51DF"/>
    <w:rsid w:val="00BB1C26"/>
    <w:rsid w:val="00BB24EC"/>
    <w:rsid w:val="00BB26E6"/>
    <w:rsid w:val="00BB43B5"/>
    <w:rsid w:val="00BB54DA"/>
    <w:rsid w:val="00BB7508"/>
    <w:rsid w:val="00BC04CD"/>
    <w:rsid w:val="00BC0E2D"/>
    <w:rsid w:val="00BC4DE1"/>
    <w:rsid w:val="00BC523E"/>
    <w:rsid w:val="00BD1A38"/>
    <w:rsid w:val="00BD2968"/>
    <w:rsid w:val="00BD2FD4"/>
    <w:rsid w:val="00BE5771"/>
    <w:rsid w:val="00BF0B28"/>
    <w:rsid w:val="00BF149C"/>
    <w:rsid w:val="00BF5646"/>
    <w:rsid w:val="00BF569F"/>
    <w:rsid w:val="00C04F0E"/>
    <w:rsid w:val="00C05B20"/>
    <w:rsid w:val="00C10531"/>
    <w:rsid w:val="00C10C2E"/>
    <w:rsid w:val="00C125F3"/>
    <w:rsid w:val="00C147AF"/>
    <w:rsid w:val="00C15458"/>
    <w:rsid w:val="00C17B09"/>
    <w:rsid w:val="00C2031C"/>
    <w:rsid w:val="00C219BC"/>
    <w:rsid w:val="00C23C5D"/>
    <w:rsid w:val="00C24A06"/>
    <w:rsid w:val="00C25E5C"/>
    <w:rsid w:val="00C275BD"/>
    <w:rsid w:val="00C31596"/>
    <w:rsid w:val="00C34DF2"/>
    <w:rsid w:val="00C414FC"/>
    <w:rsid w:val="00C421AA"/>
    <w:rsid w:val="00C4320E"/>
    <w:rsid w:val="00C4690A"/>
    <w:rsid w:val="00C52398"/>
    <w:rsid w:val="00C5323E"/>
    <w:rsid w:val="00C54D54"/>
    <w:rsid w:val="00C5799E"/>
    <w:rsid w:val="00C60359"/>
    <w:rsid w:val="00C63D22"/>
    <w:rsid w:val="00C649C7"/>
    <w:rsid w:val="00C6745B"/>
    <w:rsid w:val="00C71EA3"/>
    <w:rsid w:val="00C72DA6"/>
    <w:rsid w:val="00C76171"/>
    <w:rsid w:val="00C76361"/>
    <w:rsid w:val="00C77AEA"/>
    <w:rsid w:val="00C92F15"/>
    <w:rsid w:val="00C94E75"/>
    <w:rsid w:val="00C96381"/>
    <w:rsid w:val="00CA2D4B"/>
    <w:rsid w:val="00CA36DC"/>
    <w:rsid w:val="00CB4180"/>
    <w:rsid w:val="00CB7F25"/>
    <w:rsid w:val="00CC0211"/>
    <w:rsid w:val="00CC1C20"/>
    <w:rsid w:val="00CC5CB3"/>
    <w:rsid w:val="00CC5F31"/>
    <w:rsid w:val="00CC6323"/>
    <w:rsid w:val="00CC66C6"/>
    <w:rsid w:val="00CD4552"/>
    <w:rsid w:val="00CD5576"/>
    <w:rsid w:val="00CD6BB8"/>
    <w:rsid w:val="00CD772B"/>
    <w:rsid w:val="00CE119F"/>
    <w:rsid w:val="00CE3171"/>
    <w:rsid w:val="00CE3D4F"/>
    <w:rsid w:val="00CE6B61"/>
    <w:rsid w:val="00CF0956"/>
    <w:rsid w:val="00CF2117"/>
    <w:rsid w:val="00CF236E"/>
    <w:rsid w:val="00CF3752"/>
    <w:rsid w:val="00CF4637"/>
    <w:rsid w:val="00CF5094"/>
    <w:rsid w:val="00D046EA"/>
    <w:rsid w:val="00D04C27"/>
    <w:rsid w:val="00D0537F"/>
    <w:rsid w:val="00D11C2E"/>
    <w:rsid w:val="00D22BC7"/>
    <w:rsid w:val="00D26361"/>
    <w:rsid w:val="00D268CA"/>
    <w:rsid w:val="00D27B5C"/>
    <w:rsid w:val="00D30127"/>
    <w:rsid w:val="00D36337"/>
    <w:rsid w:val="00D41218"/>
    <w:rsid w:val="00D4121F"/>
    <w:rsid w:val="00D41DEF"/>
    <w:rsid w:val="00D434E9"/>
    <w:rsid w:val="00D436F8"/>
    <w:rsid w:val="00D439A5"/>
    <w:rsid w:val="00D457F2"/>
    <w:rsid w:val="00D45A15"/>
    <w:rsid w:val="00D51A32"/>
    <w:rsid w:val="00D52272"/>
    <w:rsid w:val="00D53CCB"/>
    <w:rsid w:val="00D56057"/>
    <w:rsid w:val="00D57504"/>
    <w:rsid w:val="00D61112"/>
    <w:rsid w:val="00D65179"/>
    <w:rsid w:val="00D6562A"/>
    <w:rsid w:val="00D65F8B"/>
    <w:rsid w:val="00D67B98"/>
    <w:rsid w:val="00D71CF0"/>
    <w:rsid w:val="00D71D76"/>
    <w:rsid w:val="00D72616"/>
    <w:rsid w:val="00D737C9"/>
    <w:rsid w:val="00D7506F"/>
    <w:rsid w:val="00D800CC"/>
    <w:rsid w:val="00D80653"/>
    <w:rsid w:val="00D808B1"/>
    <w:rsid w:val="00D85C89"/>
    <w:rsid w:val="00D900DB"/>
    <w:rsid w:val="00D925DD"/>
    <w:rsid w:val="00DB292D"/>
    <w:rsid w:val="00DB5580"/>
    <w:rsid w:val="00DB63FC"/>
    <w:rsid w:val="00DB7E5F"/>
    <w:rsid w:val="00DC0277"/>
    <w:rsid w:val="00DC0B28"/>
    <w:rsid w:val="00DC7B51"/>
    <w:rsid w:val="00DD424C"/>
    <w:rsid w:val="00DE15F5"/>
    <w:rsid w:val="00DE75C0"/>
    <w:rsid w:val="00DF0CFD"/>
    <w:rsid w:val="00DF30F7"/>
    <w:rsid w:val="00E00AFF"/>
    <w:rsid w:val="00E00B6C"/>
    <w:rsid w:val="00E03BA1"/>
    <w:rsid w:val="00E068C9"/>
    <w:rsid w:val="00E07B9A"/>
    <w:rsid w:val="00E108E5"/>
    <w:rsid w:val="00E11C97"/>
    <w:rsid w:val="00E12990"/>
    <w:rsid w:val="00E1617B"/>
    <w:rsid w:val="00E20A38"/>
    <w:rsid w:val="00E30DEA"/>
    <w:rsid w:val="00E364BB"/>
    <w:rsid w:val="00E43FAB"/>
    <w:rsid w:val="00E557A3"/>
    <w:rsid w:val="00E566D6"/>
    <w:rsid w:val="00E57C46"/>
    <w:rsid w:val="00E608CD"/>
    <w:rsid w:val="00E61D74"/>
    <w:rsid w:val="00E6293D"/>
    <w:rsid w:val="00E65A49"/>
    <w:rsid w:val="00E66267"/>
    <w:rsid w:val="00E70AB7"/>
    <w:rsid w:val="00E70BCC"/>
    <w:rsid w:val="00E7281D"/>
    <w:rsid w:val="00E73324"/>
    <w:rsid w:val="00E73722"/>
    <w:rsid w:val="00E7664A"/>
    <w:rsid w:val="00E80218"/>
    <w:rsid w:val="00E808F1"/>
    <w:rsid w:val="00E81F67"/>
    <w:rsid w:val="00E82671"/>
    <w:rsid w:val="00E83172"/>
    <w:rsid w:val="00E91296"/>
    <w:rsid w:val="00E95152"/>
    <w:rsid w:val="00E95B8E"/>
    <w:rsid w:val="00EA0AAF"/>
    <w:rsid w:val="00EA0DB3"/>
    <w:rsid w:val="00EA1E27"/>
    <w:rsid w:val="00EA2106"/>
    <w:rsid w:val="00EA5BBA"/>
    <w:rsid w:val="00EA5E4E"/>
    <w:rsid w:val="00EA6DC9"/>
    <w:rsid w:val="00EA6FFF"/>
    <w:rsid w:val="00EB17F4"/>
    <w:rsid w:val="00EB402E"/>
    <w:rsid w:val="00EB4576"/>
    <w:rsid w:val="00EB5362"/>
    <w:rsid w:val="00EB6BD8"/>
    <w:rsid w:val="00EC0894"/>
    <w:rsid w:val="00EC3E62"/>
    <w:rsid w:val="00EC4172"/>
    <w:rsid w:val="00ED1797"/>
    <w:rsid w:val="00ED1B18"/>
    <w:rsid w:val="00ED2095"/>
    <w:rsid w:val="00EE432B"/>
    <w:rsid w:val="00EE5FBB"/>
    <w:rsid w:val="00EF0EE7"/>
    <w:rsid w:val="00EF15AD"/>
    <w:rsid w:val="00EF30C3"/>
    <w:rsid w:val="00EF3A68"/>
    <w:rsid w:val="00EF40CC"/>
    <w:rsid w:val="00EF55C2"/>
    <w:rsid w:val="00F02945"/>
    <w:rsid w:val="00F04B42"/>
    <w:rsid w:val="00F10662"/>
    <w:rsid w:val="00F13312"/>
    <w:rsid w:val="00F15B3A"/>
    <w:rsid w:val="00F222BB"/>
    <w:rsid w:val="00F25568"/>
    <w:rsid w:val="00F349E0"/>
    <w:rsid w:val="00F34F8A"/>
    <w:rsid w:val="00F43413"/>
    <w:rsid w:val="00F44A20"/>
    <w:rsid w:val="00F46FDF"/>
    <w:rsid w:val="00F508E1"/>
    <w:rsid w:val="00F577F0"/>
    <w:rsid w:val="00F609B8"/>
    <w:rsid w:val="00F635CD"/>
    <w:rsid w:val="00F65618"/>
    <w:rsid w:val="00F67953"/>
    <w:rsid w:val="00F71271"/>
    <w:rsid w:val="00F72D8A"/>
    <w:rsid w:val="00F832C5"/>
    <w:rsid w:val="00F8420F"/>
    <w:rsid w:val="00F97209"/>
    <w:rsid w:val="00F97E2C"/>
    <w:rsid w:val="00FA5C72"/>
    <w:rsid w:val="00FA60AB"/>
    <w:rsid w:val="00FB17E2"/>
    <w:rsid w:val="00FB39B7"/>
    <w:rsid w:val="00FB44C1"/>
    <w:rsid w:val="00FC2AC0"/>
    <w:rsid w:val="00FC47D6"/>
    <w:rsid w:val="00FD30E3"/>
    <w:rsid w:val="00FD3174"/>
    <w:rsid w:val="00FE261B"/>
    <w:rsid w:val="00FE2CCC"/>
    <w:rsid w:val="00FE3D70"/>
    <w:rsid w:val="00FE77A9"/>
    <w:rsid w:val="00FF48CE"/>
    <w:rsid w:val="00FF4BFA"/>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18389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18389D"/>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18389D"/>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18389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18389D"/>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18389D"/>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BC842-97D8-4EB8-9BB1-B34240779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5</Pages>
  <Words>1554</Words>
  <Characters>9018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154</cp:revision>
  <cp:lastPrinted>2017-11-27T06:33:00Z</cp:lastPrinted>
  <dcterms:created xsi:type="dcterms:W3CDTF">2017-02-14T12:19:00Z</dcterms:created>
  <dcterms:modified xsi:type="dcterms:W3CDTF">2018-03-13T09:50:00Z</dcterms:modified>
</cp:coreProperties>
</file>