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:rsidR="00046D38" w:rsidRDefault="00046D38" w:rsidP="001B0778">
      <w:pPr>
        <w:jc w:val="both"/>
      </w:pPr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aspecte, ce vor face subiectul evaluării tehnico-economice</w:t>
      </w:r>
      <w:r>
        <w:t>:</w:t>
      </w:r>
    </w:p>
    <w:p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tramvaie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parametri (de exemplu ”10 tramvaie cu o capacitate d</w:t>
      </w:r>
      <w:r>
        <w:rPr>
          <w:iCs/>
          <w:szCs w:val="20"/>
        </w:rPr>
        <w:t>e cel puţin 200 de pasageri” sau</w:t>
      </w:r>
      <w:r w:rsidRPr="00F633D7">
        <w:rPr>
          <w:iCs/>
          <w:szCs w:val="20"/>
        </w:rPr>
        <w:t xml:space="preserve"> ”12 tramvaie cu o capacitate de cel puţin 160 de pasageri”).</w:t>
      </w:r>
    </w:p>
    <w:p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Pr="00132476">
        <w:rPr>
          <w:iCs/>
          <w:szCs w:val="20"/>
        </w:rPr>
        <w:t xml:space="preserve"> ce urmează a fi achiziţionate, precum și, după caz, ale serviciilor achiziționate de modernizare a tramvaielor.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 de tramvai, raza orizontală minimă a liniei de tramvai sau 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  <w:bookmarkStart w:id="0" w:name="_GoBack"/>
      <w:bookmarkEnd w:id="0"/>
    </w:p>
    <w:p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03F" w:rsidRDefault="0015003F" w:rsidP="002E2647">
      <w:pPr>
        <w:spacing w:before="0" w:after="0"/>
      </w:pPr>
      <w:r>
        <w:separator/>
      </w:r>
    </w:p>
  </w:endnote>
  <w:endnote w:type="continuationSeparator" w:id="0">
    <w:p w:rsidR="0015003F" w:rsidRDefault="0015003F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03F" w:rsidRDefault="0015003F" w:rsidP="002E2647">
      <w:pPr>
        <w:spacing w:before="0" w:after="0"/>
      </w:pPr>
      <w:r>
        <w:separator/>
      </w:r>
    </w:p>
  </w:footnote>
  <w:footnote w:type="continuationSeparator" w:id="0">
    <w:p w:rsidR="0015003F" w:rsidRDefault="0015003F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2E2647" w:rsidRPr="002E2647" w:rsidTr="00F165B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2E2647" w:rsidRPr="002E2647" w:rsidRDefault="002E2647" w:rsidP="002E2647">
          <w:pPr>
            <w:rPr>
              <w:color w:val="808080"/>
              <w:sz w:val="14"/>
              <w:lang w:eastAsia="ro-RO"/>
            </w:rPr>
          </w:pPr>
          <w:r w:rsidRPr="002E2647">
            <w:rPr>
              <w:color w:val="808080"/>
              <w:sz w:val="14"/>
              <w:lang w:eastAsia="ro-RO"/>
            </w:rPr>
            <w:t>Programul Operaţional Regional 2014-2020</w:t>
          </w:r>
        </w:p>
      </w:tc>
    </w:tr>
    <w:tr w:rsidR="002E2647" w:rsidRPr="002E2647" w:rsidTr="00F165B9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E2647" w:rsidRPr="002E2647" w:rsidRDefault="002E2647" w:rsidP="00183BF1">
          <w:pPr>
            <w:rPr>
              <w:b/>
              <w:bCs/>
              <w:color w:val="808080"/>
              <w:sz w:val="14"/>
              <w:lang w:eastAsia="ro-RO"/>
            </w:rPr>
          </w:pPr>
          <w:r w:rsidRPr="002E2647">
            <w:rPr>
              <w:b/>
              <w:bCs/>
              <w:color w:val="808080"/>
              <w:sz w:val="14"/>
              <w:lang w:eastAsia="ro-RO"/>
            </w:rPr>
            <w:t>Ghidul Solicitantului – Condițíi specifice de accesare a fondurilor în cadru</w:t>
          </w:r>
          <w:r w:rsidR="00E4591A">
            <w:rPr>
              <w:b/>
              <w:bCs/>
              <w:color w:val="808080"/>
              <w:sz w:val="14"/>
              <w:lang w:eastAsia="ro-RO"/>
            </w:rPr>
            <w:t>l apelului de proiecte cu numărul</w:t>
          </w:r>
          <w:r w:rsidRPr="002E2647">
            <w:rPr>
              <w:lang w:eastAsia="ro-RO"/>
            </w:rPr>
            <w:t xml:space="preserve"> </w:t>
          </w:r>
          <w:r w:rsidR="002C45EC">
            <w:rPr>
              <w:b/>
              <w:bCs/>
              <w:color w:val="808080"/>
              <w:sz w:val="14"/>
              <w:lang w:eastAsia="ro-RO"/>
            </w:rPr>
            <w:t>POR/2017/4/4.1/1</w:t>
          </w:r>
        </w:p>
        <w:p w:rsidR="002E2647" w:rsidRPr="002E2647" w:rsidRDefault="00855BB2" w:rsidP="002E2647">
          <w:pPr>
            <w:jc w:val="right"/>
            <w:rPr>
              <w:b/>
              <w:bCs/>
              <w:color w:val="808080"/>
              <w:sz w:val="14"/>
              <w:lang w:eastAsia="ro-RO"/>
            </w:rPr>
          </w:pPr>
          <w:r>
            <w:rPr>
              <w:b/>
              <w:bCs/>
              <w:color w:val="808080"/>
              <w:sz w:val="14"/>
              <w:lang w:eastAsia="ro-RO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513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49</cp:revision>
  <dcterms:created xsi:type="dcterms:W3CDTF">2017-05-25T16:16:00Z</dcterms:created>
  <dcterms:modified xsi:type="dcterms:W3CDTF">2017-07-14T08:18:00Z</dcterms:modified>
</cp:coreProperties>
</file>