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229" w:rsidRPr="00856846" w:rsidRDefault="002854F7" w:rsidP="003B60A2">
      <w:pPr>
        <w:tabs>
          <w:tab w:val="left" w:pos="3481"/>
        </w:tabs>
        <w:jc w:val="center"/>
        <w:rPr>
          <w:rFonts w:ascii="Trebuchet MS" w:hAnsi="Trebuchet MS"/>
          <w:b/>
          <w:sz w:val="20"/>
          <w:szCs w:val="20"/>
        </w:rPr>
      </w:pPr>
      <w:r w:rsidRPr="00856846">
        <w:rPr>
          <w:rFonts w:ascii="Trebuchet MS" w:hAnsi="Trebuchet MS"/>
          <w:b/>
          <w:sz w:val="20"/>
          <w:szCs w:val="20"/>
        </w:rPr>
        <w:t xml:space="preserve">Structura </w:t>
      </w:r>
      <w:r w:rsidR="009E6F50" w:rsidRPr="00856846">
        <w:rPr>
          <w:rFonts w:ascii="Trebuchet MS" w:hAnsi="Trebuchet MS"/>
          <w:b/>
          <w:sz w:val="20"/>
          <w:szCs w:val="20"/>
        </w:rPr>
        <w:t xml:space="preserve">detaliată </w:t>
      </w:r>
      <w:r w:rsidRPr="00856846">
        <w:rPr>
          <w:rFonts w:ascii="Trebuchet MS" w:hAnsi="Trebuchet MS"/>
          <w:b/>
          <w:sz w:val="20"/>
          <w:szCs w:val="20"/>
        </w:rPr>
        <w:t>orientativă a</w:t>
      </w:r>
      <w:r w:rsidR="00575F72" w:rsidRPr="00856846">
        <w:rPr>
          <w:rFonts w:ascii="Trebuchet MS" w:hAnsi="Trebuchet MS"/>
          <w:b/>
          <w:sz w:val="20"/>
          <w:szCs w:val="20"/>
        </w:rPr>
        <w:t xml:space="preserve"> Planului de Mobilitate Urbană Durabilă</w:t>
      </w:r>
    </w:p>
    <w:p w:rsidR="008C593D" w:rsidRPr="00856846" w:rsidRDefault="008C593D" w:rsidP="008C593D">
      <w:pPr>
        <w:rPr>
          <w:rFonts w:ascii="Trebuchet MS" w:hAnsi="Trebuchet MS" w:cs="Arial"/>
          <w:b/>
          <w:sz w:val="20"/>
          <w:szCs w:val="20"/>
        </w:rPr>
      </w:pPr>
      <w:bookmarkStart w:id="0" w:name="_GoBack"/>
      <w:bookmarkEnd w:id="0"/>
    </w:p>
    <w:p w:rsidR="008C593D" w:rsidRPr="00856846" w:rsidRDefault="008C593D" w:rsidP="00007533">
      <w:pPr>
        <w:jc w:val="both"/>
        <w:rPr>
          <w:rFonts w:ascii="Trebuchet MS" w:hAnsi="Trebuchet MS"/>
          <w:sz w:val="20"/>
          <w:szCs w:val="20"/>
        </w:rPr>
      </w:pPr>
      <w:r w:rsidRPr="00856846">
        <w:rPr>
          <w:rFonts w:ascii="Arial" w:hAnsi="Arial" w:cs="Arial"/>
          <w:sz w:val="20"/>
          <w:szCs w:val="20"/>
        </w:rPr>
        <w:t>Ȋ</w:t>
      </w:r>
      <w:r w:rsidRPr="00856846">
        <w:rPr>
          <w:rFonts w:ascii="Trebuchet MS" w:hAnsi="Trebuchet MS"/>
          <w:sz w:val="20"/>
          <w:szCs w:val="20"/>
        </w:rPr>
        <w:t>n cadrul acestei anexe este prezentată structur</w:t>
      </w:r>
      <w:r w:rsidR="00007533" w:rsidRPr="00856846">
        <w:rPr>
          <w:rFonts w:ascii="Trebuchet MS" w:hAnsi="Trebuchet MS"/>
          <w:sz w:val="20"/>
          <w:szCs w:val="20"/>
        </w:rPr>
        <w:t>a detaliată orientativă</w:t>
      </w:r>
      <w:r w:rsidRPr="00856846">
        <w:rPr>
          <w:rFonts w:ascii="Trebuchet MS" w:hAnsi="Trebuchet MS"/>
          <w:sz w:val="20"/>
          <w:szCs w:val="20"/>
        </w:rPr>
        <w:t xml:space="preserve"> a Planului de Mobilitate Urbană Durabilă, pe baza conținut</w:t>
      </w:r>
      <w:r w:rsidR="00EC3A29" w:rsidRPr="00856846">
        <w:rPr>
          <w:rFonts w:ascii="Trebuchet MS" w:hAnsi="Trebuchet MS"/>
          <w:sz w:val="20"/>
          <w:szCs w:val="20"/>
        </w:rPr>
        <w:t>ului-cadru al P</w:t>
      </w:r>
      <w:r w:rsidR="00007533" w:rsidRPr="00856846">
        <w:rPr>
          <w:rFonts w:ascii="Trebuchet MS" w:hAnsi="Trebuchet MS"/>
          <w:sz w:val="20"/>
          <w:szCs w:val="20"/>
        </w:rPr>
        <w:t>.</w:t>
      </w:r>
      <w:r w:rsidR="00EC3A29" w:rsidRPr="00856846">
        <w:rPr>
          <w:rFonts w:ascii="Trebuchet MS" w:hAnsi="Trebuchet MS"/>
          <w:sz w:val="20"/>
          <w:szCs w:val="20"/>
        </w:rPr>
        <w:t>M</w:t>
      </w:r>
      <w:r w:rsidR="00007533" w:rsidRPr="00856846">
        <w:rPr>
          <w:rFonts w:ascii="Trebuchet MS" w:hAnsi="Trebuchet MS"/>
          <w:sz w:val="20"/>
          <w:szCs w:val="20"/>
        </w:rPr>
        <w:t>.</w:t>
      </w:r>
      <w:r w:rsidR="00EC3A29" w:rsidRPr="00856846">
        <w:rPr>
          <w:rFonts w:ascii="Trebuchet MS" w:hAnsi="Trebuchet MS"/>
          <w:sz w:val="20"/>
          <w:szCs w:val="20"/>
        </w:rPr>
        <w:t>U</w:t>
      </w:r>
      <w:r w:rsidR="00007533" w:rsidRPr="00856846">
        <w:rPr>
          <w:rFonts w:ascii="Trebuchet MS" w:hAnsi="Trebuchet MS"/>
          <w:sz w:val="20"/>
          <w:szCs w:val="20"/>
        </w:rPr>
        <w:t>.</w:t>
      </w:r>
      <w:r w:rsidR="00EC3A29" w:rsidRPr="00856846">
        <w:rPr>
          <w:rFonts w:ascii="Trebuchet MS" w:hAnsi="Trebuchet MS"/>
          <w:sz w:val="20"/>
          <w:szCs w:val="20"/>
        </w:rPr>
        <w:t>D</w:t>
      </w:r>
      <w:r w:rsidR="00007533" w:rsidRPr="00856846">
        <w:rPr>
          <w:rFonts w:ascii="Trebuchet MS" w:hAnsi="Trebuchet MS"/>
          <w:sz w:val="20"/>
          <w:szCs w:val="20"/>
        </w:rPr>
        <w:t>.</w:t>
      </w:r>
      <w:r w:rsidR="00EC3A29" w:rsidRPr="00856846">
        <w:rPr>
          <w:rFonts w:ascii="Trebuchet MS" w:hAnsi="Trebuchet MS"/>
          <w:sz w:val="20"/>
          <w:szCs w:val="20"/>
        </w:rPr>
        <w:t xml:space="preserve"> preluat din art. 16 </w:t>
      </w:r>
      <w:r w:rsidR="006805CD" w:rsidRPr="00856846">
        <w:rPr>
          <w:rFonts w:ascii="Trebuchet MS" w:hAnsi="Trebuchet MS"/>
          <w:sz w:val="20"/>
          <w:szCs w:val="20"/>
        </w:rPr>
        <w:t>a</w:t>
      </w:r>
      <w:r w:rsidR="00007533" w:rsidRPr="00856846">
        <w:rPr>
          <w:rFonts w:ascii="Trebuchet MS" w:hAnsi="Trebuchet MS"/>
          <w:sz w:val="20"/>
          <w:szCs w:val="20"/>
        </w:rPr>
        <w:t>l</w:t>
      </w:r>
      <w:r w:rsidR="006805CD" w:rsidRPr="00856846">
        <w:rPr>
          <w:rFonts w:ascii="Trebuchet MS" w:hAnsi="Trebuchet MS"/>
          <w:sz w:val="20"/>
          <w:szCs w:val="20"/>
        </w:rPr>
        <w:t xml:space="preserve"> Normelor metodologice de aplicare a Legii nr. 350/2001 privind amenajarea teritoriului şi urbanismul şi de elaborare şi actualizare a documentaţiilor de urbanism</w:t>
      </w:r>
      <w:r w:rsidR="00007533" w:rsidRPr="00856846">
        <w:rPr>
          <w:rFonts w:ascii="Trebuchet MS" w:hAnsi="Trebuchet MS"/>
          <w:sz w:val="20"/>
          <w:szCs w:val="20"/>
        </w:rPr>
        <w:t xml:space="preserve">, aprobate prin Ordinul MDRAP nr. 233/2016. </w:t>
      </w:r>
    </w:p>
    <w:tbl>
      <w:tblPr>
        <w:tblStyle w:val="TableGrid"/>
        <w:tblW w:w="9464" w:type="dxa"/>
        <w:tblLook w:val="04A0" w:firstRow="1" w:lastRow="0" w:firstColumn="1" w:lastColumn="0" w:noHBand="0" w:noVBand="1"/>
      </w:tblPr>
      <w:tblGrid>
        <w:gridCol w:w="2093"/>
        <w:gridCol w:w="3081"/>
        <w:gridCol w:w="4290"/>
      </w:tblGrid>
      <w:tr w:rsidR="003A4229" w:rsidRPr="00856846" w:rsidTr="00673699">
        <w:tc>
          <w:tcPr>
            <w:tcW w:w="2093"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Secţiunea</w:t>
            </w:r>
          </w:p>
        </w:tc>
        <w:tc>
          <w:tcPr>
            <w:tcW w:w="3081"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Subsecţiunea</w:t>
            </w:r>
          </w:p>
        </w:tc>
        <w:tc>
          <w:tcPr>
            <w:tcW w:w="4290"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Descrierea orientativă</w:t>
            </w:r>
          </w:p>
        </w:tc>
      </w:tr>
      <w:tr w:rsidR="003A4229" w:rsidRPr="00856846" w:rsidTr="00673699">
        <w:tc>
          <w:tcPr>
            <w:tcW w:w="9464" w:type="dxa"/>
            <w:gridSpan w:val="3"/>
          </w:tcPr>
          <w:p w:rsidR="003A4229" w:rsidRPr="00856846" w:rsidRDefault="003A4229" w:rsidP="003A4229">
            <w:pPr>
              <w:numPr>
                <w:ilvl w:val="0"/>
                <w:numId w:val="20"/>
              </w:numPr>
              <w:spacing w:before="120" w:after="120"/>
              <w:contextualSpacing/>
              <w:jc w:val="both"/>
              <w:rPr>
                <w:rFonts w:ascii="Trebuchet MS" w:hAnsi="Trebuchet MS" w:cs="Times New Roman"/>
                <w:i/>
                <w:color w:val="C00000"/>
                <w:sz w:val="20"/>
                <w:szCs w:val="20"/>
                <w:lang w:val="en-GB" w:eastAsia="ro-RO"/>
              </w:rPr>
            </w:pPr>
            <w:r w:rsidRPr="00856846">
              <w:rPr>
                <w:rFonts w:ascii="Trebuchet MS" w:hAnsi="Trebuchet MS" w:cs="Times New Roman"/>
                <w:b/>
                <w:i/>
                <w:color w:val="C00000"/>
                <w:sz w:val="20"/>
                <w:szCs w:val="20"/>
                <w:lang w:val="en-GB" w:eastAsia="ro-RO"/>
              </w:rPr>
              <w:t>P.M.U.D. – Componenta strategică (corespunzătoare etapei 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 Introducere:</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Scopul şi rolul documentaţiei:</w:t>
            </w:r>
            <w:r w:rsidRPr="00856846">
              <w:rPr>
                <w:rFonts w:ascii="Trebuchet MS" w:hAnsi="Trebuchet MS" w:cs="Times New Roman"/>
                <w:color w:val="000000"/>
                <w:sz w:val="20"/>
                <w:szCs w:val="20"/>
                <w:lang w:val="en-GB" w:eastAsia="ro-RO"/>
              </w:rPr>
              <w:br/>
            </w:r>
          </w:p>
        </w:tc>
        <w:tc>
          <w:tcPr>
            <w:tcW w:w="4290" w:type="dxa"/>
          </w:tcPr>
          <w:p w:rsidR="003A4229" w:rsidRPr="00856846" w:rsidRDefault="00C148A0"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w:t>
            </w:r>
            <w:r w:rsidR="003A4229" w:rsidRPr="00856846">
              <w:rPr>
                <w:rFonts w:ascii="Trebuchet MS" w:hAnsi="Trebuchet MS" w:cs="Times New Roman"/>
                <w:color w:val="000000"/>
                <w:sz w:val="20"/>
                <w:szCs w:val="2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de planificare spaţială: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1.3</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strategice sectoriale: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Preluarea prevederilor privind dezvoltarea economică, socială şi de cadru natural din documentele de planificare ale UAT-urilor: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viziunea generală pentru dezvoltarea economică, socială şi de mediu a U.A.T.-urilor şi explicaţi modul în care P.M.U.D. va susţine această viziune.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 xml:space="preserve">Analiza situaţiei existente: </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Contextul socio-economic cu identificarea densităţilor de populaţie şi a activităţilor economice: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următoarele aspecte, cu respectarea, dup</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caz, a prevederilor art. 15, alin. 9 din Normele metodologie (Ord. nr. 233/2016): populaţia existentă, distribuţia populaţiei, tendinţele demografice, structura populaţiei pe grupe de vârstă, densitatea populaţiei; se pot utiliza mijloace vizuale (tabele, grafice) şi se va specifica sursa datelor de referinţă.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Prezentaţi informaţii referitoare la structura ocupaţională la nivelul întregii populaţii, pe sectoare de activitate, pe categorii de vârstă şi distribuţia locurilor de muncă. </w:t>
            </w:r>
          </w:p>
          <w:p w:rsidR="003A4229" w:rsidRPr="00856846" w:rsidRDefault="003A4229" w:rsidP="003A4229">
            <w:pPr>
              <w:spacing w:before="120" w:after="120" w:line="264" w:lineRule="auto"/>
              <w:jc w:val="both"/>
              <w:rPr>
                <w:rFonts w:ascii="Trebuchet MS" w:hAnsi="Trebuchet MS" w:cs="Times New Roman"/>
                <w:color w:val="000000"/>
                <w:sz w:val="20"/>
                <w:szCs w:val="20"/>
                <w:highlight w:val="yellow"/>
                <w:lang w:val="en-GB" w:eastAsia="ro-RO"/>
              </w:rPr>
            </w:pPr>
            <w:r w:rsidRPr="00856846">
              <w:rPr>
                <w:rFonts w:ascii="Trebuchet MS" w:hAnsi="Trebuchet MS" w:cs="Times New Roman"/>
                <w:color w:val="000000"/>
                <w:sz w:val="20"/>
                <w:szCs w:val="20"/>
                <w:lang w:val="en-GB" w:eastAsia="ro-RO"/>
              </w:rPr>
              <w:t>Descrieţi nivelul populaţiei active din punct de vedere economic, modelul de dezvoltare al oraşului, cauzele şomajului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Reţeaua stradală: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date şi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public: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date şi descrieri grafice despre reţeaua şi serviciile de transport public.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informaţii despre modurile de transport public, inclusiv localizarea acestora, frecvenţa în cadrul reţelei, programului de transport, aspecte privind eliberarea biletelor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tarifele practicate, caracterul adecvat al traseelor, starea fizică a infrastructurii şi a vehiculelor, analiza  condiţiilor de siguranţă, areale unde se înregistrează congestii/ întârzieri semnificative/ gâtuiri în reţelele de transport public, informaţii cheie privind </w:t>
            </w:r>
            <w:r w:rsidRPr="00856846">
              <w:rPr>
                <w:rFonts w:ascii="Trebuchet MS" w:hAnsi="Trebuchet MS" w:cs="Times New Roman"/>
                <w:color w:val="000000"/>
                <w:sz w:val="20"/>
                <w:szCs w:val="20"/>
                <w:lang w:val="en-GB" w:eastAsia="ro-RO"/>
              </w:rPr>
              <w:lastRenderedPageBreak/>
              <w:t xml:space="preserve">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Furnizaţi o analiză suplimentară pentru a arăta cererea de transport public, gradul de ocupare al coridoarelor principale şi al serviciilor de transport public</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 cadrul reţelei. 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Întreprindeţi o analiză a accesibilităţii la nivel local </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i la nivelul reţelei de transport public.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  Transport de marfă: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Evidenţiaţi arealele principale care atrag/generează transport de marfă în interiorul ariei PMUD şi explicaţi cum este organizată/asigurată în prezent această activitate de transport.</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problemele principale care apar ca urmare a desfăşurării transportului de marfă (de ex. problemele întâmpinate de către companiile de transport de marfă şi de către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ceilalţi utilizatori ai reţelei de transport, în principal a celei rutiere) şi localizarea acestora.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Mijloace alternative de mobilitate (deplasări cu bicicleta, mersul pe jos şi deplasarea persoanelor cu mobilitate redusă):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pentru ciclişti/pietoni, probleme frecvente de siguranţă şi accesibilitate. </w:t>
            </w:r>
          </w:p>
        </w:tc>
      </w:tr>
      <w:tr w:rsidR="003A4229" w:rsidRPr="00856846" w:rsidTr="00673699">
        <w:trPr>
          <w:trHeight w:val="69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Managementul traficului (staţionarea, siguranţa în </w:t>
            </w:r>
            <w:r w:rsidRPr="00856846">
              <w:rPr>
                <w:rFonts w:ascii="Trebuchet MS" w:hAnsi="Trebuchet MS" w:cs="Times New Roman"/>
                <w:color w:val="000000"/>
                <w:sz w:val="20"/>
                <w:szCs w:val="20"/>
                <w:lang w:val="en-GB" w:eastAsia="ro-RO"/>
              </w:rPr>
              <w:lastRenderedPageBreak/>
              <w:t>trafic, sisteme inteligente de transport, signalistică, structuri de management existente la nivelul autorităţii planificatoare):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Furnizaţi o descriere a utilizării prezente a Sistemelor Inteligente de Transport </w:t>
            </w:r>
            <w:r w:rsidRPr="00856846">
              <w:rPr>
                <w:rFonts w:ascii="Trebuchet MS" w:hAnsi="Trebuchet MS" w:cs="Times New Roman"/>
                <w:color w:val="000000"/>
                <w:sz w:val="20"/>
                <w:szCs w:val="20"/>
                <w:lang w:val="en-GB" w:eastAsia="ro-RO"/>
              </w:rPr>
              <w:lastRenderedPageBreak/>
              <w:t xml:space="preserve">(tehnologia pentru controlul/managementul traficului), disponibilitatea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856846" w:rsidTr="00673699">
        <w:trPr>
          <w:trHeight w:val="1217"/>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Definiţi zonele specifice din cadrul ariei P.M.U.D., unde sunt identificate aspecte complexe ce ţin de transportul</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multi şi intermodal. Acestea includ zonele istorice urbane, zonele unde vehiculele de marfă şi de bunuri sunt predominante, cum ar fi zonele comerciale/logistice, zonele cu atracţii turistice, zonele intermodale (cum ar fi gările, autogările, aeroporturile),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3. Model de transport</w:t>
            </w: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Pentru oraşele de rang 0 şi I este obligatorie utilizarea unui model de transport multi-modal sau a unui model  de alocare între moduri;</w:t>
            </w:r>
          </w:p>
          <w:p w:rsidR="003A4229" w:rsidRPr="00856846" w:rsidRDefault="003A4229" w:rsidP="003A4229">
            <w:pPr>
              <w:spacing w:before="120" w:after="120"/>
              <w:ind w:left="284"/>
              <w:contextualSpacing/>
              <w:jc w:val="both"/>
              <w:rPr>
                <w:rFonts w:ascii="Trebuchet MS" w:hAnsi="Trebuchet MS" w:cs="Times New Roman"/>
                <w:color w:val="000000"/>
                <w:sz w:val="20"/>
                <w:szCs w:val="20"/>
                <w:lang w:val="en-GB" w:eastAsia="ro-RO"/>
              </w:rPr>
            </w:pP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Pentru oraşele de rang II şi III, modelul de transport poate fi prezentat sub forma unui model simplu, care sa indice fluxurile existente şi viitoare de </w:t>
            </w:r>
            <w:r w:rsidRPr="00856846">
              <w:rPr>
                <w:rFonts w:ascii="Trebuchet MS" w:hAnsi="Trebuchet MS" w:cs="Times New Roman"/>
                <w:color w:val="000000"/>
                <w:sz w:val="20"/>
                <w:szCs w:val="20"/>
                <w:lang w:val="en-GB" w:eastAsia="ro-RO"/>
              </w:rPr>
              <w:lastRenderedPageBreak/>
              <w:t>transport, sub forma unei foi de calcul;</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3.1. Prezentare generală şi definirea domeniului</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w:t>
            </w:r>
            <w:r w:rsidRPr="00856846">
              <w:rPr>
                <w:rFonts w:ascii="Trebuchet MS" w:hAnsi="Trebuchet MS" w:cs="Times New Roman"/>
                <w:color w:val="000000"/>
                <w:sz w:val="20"/>
                <w:szCs w:val="20"/>
                <w:vertAlign w:val="superscript"/>
                <w:lang w:val="en-GB" w:eastAsia="ro-RO"/>
              </w:rPr>
              <w:footnoteReference w:id="1"/>
            </w:r>
            <w:r w:rsidRPr="00856846">
              <w:rPr>
                <w:rFonts w:ascii="Trebuchet MS" w:hAnsi="Trebuchet MS" w:cs="Times New Roman"/>
                <w:color w:val="000000"/>
                <w:sz w:val="20"/>
                <w:szCs w:val="20"/>
                <w:lang w:val="en-GB" w:eastAsia="ro-RO"/>
              </w:rPr>
              <w:t xml:space="preserve"> pentru Modelarea în transporturi, prezentaţi informaţii de bază cu privire la modelul de transport, incluzând:</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Tipul modelului ce urmează a fi dezvoltat (multi-modal, model de alocare între moduri sau un model simplu);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Acoperirea spaţială a modelului (aria de studiu);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Anul de bază al modelului şi anii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selectaţi;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Informaţia care va fi furnizată de model, e.g. fluxurile de călători/km, volumele de marfă în vehicule/km,  timpul total agregat, distanţele de călătorie, emisiile de GES din reţea, totalul fluxurilor de origine şi destinaţie, cote modale, întârzieri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-Softul care va fi utilizat pentru dezvoltarea modelului (de exemplu, CUBE, VISUM, TRANSCAD, EXCEL, VISSIM, PARAMICS, </w:t>
            </w:r>
            <w:r w:rsidRPr="00856846">
              <w:rPr>
                <w:rFonts w:ascii="Trebuchet MS" w:hAnsi="Trebuchet MS" w:cs="Times New Roman"/>
                <w:color w:val="000000"/>
                <w:sz w:val="20"/>
                <w:szCs w:val="20"/>
                <w:lang w:val="en-GB" w:eastAsia="ro-RO"/>
              </w:rPr>
              <w:lastRenderedPageBreak/>
              <w:t>SATURN, EMME);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3.2. Colectarea de date: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 pentru Modelarea în transporturi, prezentaţi datele colectate.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3.3. Dezvoltarea reţelei 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3.4. Cererea de transport:</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tabs>
                <w:tab w:val="num" w:pos="2160"/>
                <w:tab w:val="left" w:pos="248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zonele de modelare identificate (în care este împărţită aria de studiu a modelului de transport) şi ilustraţi cererea pe reţeaua de transport. De asemenea, stabiliţi modurile de transport şi destinaţia călătoriilor, care au stat la baza construcţiei matricelor de deplasări. Explicaţi cum au fost construite matricele pentru anul de bază al modelului, prin utilizarea unor date şi informaţii din modelele existente (cum ar fi Modelul Național de Transport).</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Calibrarea şi validarea datelor: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lastRenderedPageBreak/>
              <w:t>Calibrarea</w:t>
            </w:r>
            <w:r w:rsidRPr="00856846">
              <w:rPr>
                <w:rFonts w:ascii="Trebuchet MS" w:hAnsi="Trebuchet MS" w:cs="Times New Roman"/>
                <w:color w:val="000000"/>
                <w:sz w:val="20"/>
                <w:szCs w:val="20"/>
                <w:lang w:val="en-GB" w:eastAsia="ro-RO"/>
              </w:rPr>
              <w:t xml:space="preserve"> reprezinta procesul de ajustare în mod repetat a elementelor aferente modelului de transport pentru anul de referinţă, astfel încât modelul va asigura o reproducere fidelă a condițiilor/datelor observate din anul de referință.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t>Validarea</w:t>
            </w:r>
            <w:r w:rsidRPr="00856846">
              <w:rPr>
                <w:rFonts w:ascii="Trebuchet MS" w:hAnsi="Trebuchet MS" w:cs="Times New Roman"/>
                <w:color w:val="000000"/>
                <w:sz w:val="20"/>
                <w:szCs w:val="20"/>
                <w:lang w:val="en-GB" w:eastAsia="ro-RO"/>
              </w:rPr>
              <w:t xml:space="preserve"> reprezintă procesul de comparare a modelului de transport calibrat pentru anul de referinţă cu datele independente observate (de ex. din alte locaţii decât cele utilizate pentru calibrare), cu scopul de a verifica modelul calibrat pentru anul de refer</w:t>
            </w:r>
            <w:r w:rsidR="00A174B3" w:rsidRPr="00856846">
              <w:rPr>
                <w:rFonts w:ascii="Trebuchet MS" w:hAnsi="Trebuchet MS" w:cs="Times New Roman"/>
                <w:color w:val="000000"/>
                <w:sz w:val="20"/>
                <w:szCs w:val="20"/>
                <w:lang w:val="en-GB" w:eastAsia="ro-RO"/>
              </w:rPr>
              <w:t>ință (dacă reflectă, în mod suf</w:t>
            </w:r>
            <w:r w:rsidRPr="00856846">
              <w:rPr>
                <w:rFonts w:ascii="Trebuchet MS" w:hAnsi="Trebuchet MS" w:cs="Times New Roman"/>
                <w:color w:val="000000"/>
                <w:sz w:val="20"/>
                <w:szCs w:val="20"/>
                <w:lang w:val="en-GB" w:eastAsia="ro-RO"/>
              </w:rPr>
              <w:t>icient, realitatea).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3.6 Prognoze: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pentru anul</w:t>
            </w:r>
            <w:r w:rsidR="00E4617F"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dezvoltarea matricei cererii şi reţeaua de transport corespunzătoare scenariului “a face minimum”</w:t>
            </w:r>
            <w:r w:rsidRPr="00856846">
              <w:rPr>
                <w:rFonts w:ascii="Trebuchet MS" w:hAnsi="Trebuchet MS" w:cs="Times New Roman"/>
                <w:color w:val="000000"/>
                <w:sz w:val="20"/>
                <w:szCs w:val="20"/>
                <w:vertAlign w:val="superscript"/>
                <w:lang w:val="en-GB" w:eastAsia="ro-RO"/>
              </w:rPr>
              <w:footnoteReference w:id="2"/>
            </w:r>
            <w:r w:rsidRPr="00856846">
              <w:rPr>
                <w:rFonts w:ascii="Trebuchet MS" w:hAnsi="Trebuchet MS" w:cs="Times New Roman"/>
                <w:color w:val="000000"/>
                <w:sz w:val="20"/>
                <w:szCs w:val="20"/>
                <w:lang w:val="en-GB" w:eastAsia="ro-RO"/>
              </w:rPr>
              <w:t xml:space="preserve"> (scenariul de referință).  Aratăţi datele şi previziuni utilizate pentru dezvoltarea matricei cererii şi a reţelei de transport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rezultatele aferente rulării modelului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problemele suplimentare de transport şi de mobilitate care se vor ivi pe periada P.M.U.D. în cazul scenariului “A face minimum”.</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3.7. Testarea modelului de transport în cadrul unui studiu de caz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rezultatele modelului de transport pentru scenariul “A nu face nimic” aferent anului</w:t>
            </w:r>
            <w:r w:rsidR="001A6DBA" w:rsidRPr="00856846">
              <w:rPr>
                <w:rFonts w:ascii="Trebuchet MS" w:hAnsi="Trebuchet MS" w:cs="Times New Roman"/>
                <w:color w:val="000000"/>
                <w:sz w:val="20"/>
                <w:szCs w:val="20"/>
                <w:lang w:val="en-GB" w:eastAsia="ro-RO"/>
              </w:rPr>
              <w:t>/anilor</w:t>
            </w:r>
            <w:r w:rsidRPr="00856846">
              <w:rPr>
                <w:rFonts w:ascii="Trebuchet MS" w:hAnsi="Trebuchet MS" w:cs="Times New Roman"/>
                <w:color w:val="000000"/>
                <w:sz w:val="20"/>
                <w:szCs w:val="20"/>
                <w:lang w:val="en-GB" w:eastAsia="ro-RO"/>
              </w:rPr>
              <w:t xml:space="preserve">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eviden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 xml:space="preserve">iind cum activitatea de transport, </w:t>
            </w:r>
            <w:r w:rsidRPr="00856846">
              <w:rPr>
                <w:rFonts w:ascii="Trebuchet MS" w:hAnsi="Trebuchet MS" w:cs="Calibri"/>
                <w:color w:val="000000"/>
                <w:sz w:val="20"/>
                <w:szCs w:val="20"/>
                <w:lang w:val="en-GB" w:eastAsia="ro-RO"/>
              </w:rPr>
              <w:t>implicit</w:t>
            </w:r>
            <w:r w:rsidRPr="00856846">
              <w:rPr>
                <w:rFonts w:ascii="Trebuchet MS" w:hAnsi="Trebuchet MS" w:cs="Times New Roman"/>
                <w:color w:val="000000"/>
                <w:sz w:val="20"/>
                <w:szCs w:val="20"/>
                <w:lang w:val="en-GB" w:eastAsia="ro-RO"/>
              </w:rPr>
              <w:t xml:space="preserve"> performan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sistemului de transport, va fi afectat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absen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oric</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ror ac</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iuni. Rezultatul ar trebui sa fie prezentat utiliz</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nd ie</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irile cantitative din modelul de transport, care s</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sus</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in</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argumentarea.</w:t>
            </w:r>
          </w:p>
          <w:p w:rsidR="00283D9E" w:rsidRPr="00856846" w:rsidRDefault="00283D9E" w:rsidP="00C148A0">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 xml:space="preserve">Scenariul “A nu </w:t>
            </w:r>
            <w:r w:rsidR="009D0B1A" w:rsidRPr="00856846">
              <w:rPr>
                <w:rFonts w:ascii="Trebuchet MS" w:hAnsi="Trebuchet MS" w:cs="Times New Roman"/>
                <w:b/>
                <w:color w:val="000000"/>
                <w:sz w:val="20"/>
                <w:szCs w:val="20"/>
                <w:u w:val="single"/>
                <w:lang w:val="en-GB" w:eastAsia="ro-RO"/>
              </w:rPr>
              <w:t xml:space="preserve">face nimic” </w:t>
            </w:r>
            <w:r w:rsidRPr="00856846">
              <w:rPr>
                <w:rFonts w:ascii="Trebuchet MS" w:hAnsi="Trebuchet MS" w:cs="Times New Roman"/>
                <w:color w:val="000000"/>
                <w:sz w:val="20"/>
                <w:szCs w:val="20"/>
                <w:lang w:val="en-GB" w:eastAsia="ro-RO"/>
              </w:rPr>
              <w:t xml:space="preserve">surprinde situaţia corespunzătoare anului de bază și </w:t>
            </w:r>
            <w:r w:rsidRPr="00856846">
              <w:rPr>
                <w:rFonts w:ascii="Trebuchet MS" w:hAnsi="Trebuchet MS" w:cs="Times New Roman"/>
                <w:color w:val="000000"/>
                <w:sz w:val="20"/>
                <w:szCs w:val="20"/>
                <w:lang w:val="en-GB" w:eastAsia="ro-RO"/>
              </w:rPr>
              <w:lastRenderedPageBreak/>
              <w:t>este creat utilizând date complete/precise referitoare la populați</w:t>
            </w:r>
            <w:r w:rsidR="00C148A0" w:rsidRPr="00856846">
              <w:rPr>
                <w:rFonts w:ascii="Trebuchet MS" w:hAnsi="Trebuchet MS" w:cs="Times New Roman"/>
                <w:color w:val="000000"/>
                <w:sz w:val="20"/>
                <w:szCs w:val="20"/>
                <w:lang w:val="en-GB" w:eastAsia="ro-RO"/>
              </w:rPr>
              <w:t>e, date de natură economică, de</w:t>
            </w:r>
            <w:r w:rsidRPr="00856846">
              <w:rPr>
                <w:rFonts w:ascii="Trebuchet MS" w:hAnsi="Trebuchet MS" w:cs="Times New Roman"/>
                <w:color w:val="000000"/>
                <w:sz w:val="20"/>
                <w:szCs w:val="20"/>
                <w:lang w:val="en-GB" w:eastAsia="ro-RO"/>
              </w:rPr>
              <w:t xml:space="preserve"> mediu etc., iar în ceea ce privește transportul, acest scenariu cuprinde doar sistemul de transport existent (şi nicio altă infrastructură nouă sau schimbări în operarea existentă a transportului). </w:t>
            </w: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care acest scenariu </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A nu face nimic</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 xml:space="preserve"> este utilizat pentru a reflecta o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ie viitoare (servind ca baza de compara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ie), acesta va lua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calcul </w:t>
            </w:r>
            <w:r w:rsidRPr="00856846">
              <w:rPr>
                <w:rFonts w:ascii="Trebuchet MS" w:hAnsi="Trebuchet MS" w:cs="Trebuchet MS"/>
                <w:color w:val="000000"/>
                <w:sz w:val="20"/>
                <w:szCs w:val="20"/>
                <w:lang w:val="en-GB" w:eastAsia="ro-RO"/>
              </w:rPr>
              <w:t>ș</w:t>
            </w:r>
            <w:r w:rsidRPr="00856846">
              <w:rPr>
                <w:rFonts w:ascii="Trebuchet MS" w:hAnsi="Trebuchet MS" w:cs="Times New Roman"/>
                <w:color w:val="000000"/>
                <w:sz w:val="20"/>
                <w:szCs w:val="20"/>
                <w:lang w:val="en-GB" w:eastAsia="ro-RO"/>
              </w:rPr>
              <w:t>i cre</w:t>
            </w:r>
            <w:r w:rsidRPr="00856846">
              <w:rPr>
                <w:rFonts w:ascii="Trebuchet MS" w:hAnsi="Trebuchet MS" w:cs="Trebuchet MS"/>
                <w:color w:val="000000"/>
                <w:sz w:val="20"/>
                <w:szCs w:val="20"/>
                <w:lang w:val="en-GB" w:eastAsia="ro-RO"/>
              </w:rPr>
              <w:t>ş</w:t>
            </w:r>
            <w:r w:rsidRPr="00856846">
              <w:rPr>
                <w:rFonts w:ascii="Trebuchet MS" w:hAnsi="Trebuchet MS" w:cs="Times New Roman"/>
                <w:color w:val="000000"/>
                <w:sz w:val="20"/>
                <w:szCs w:val="20"/>
                <w:lang w:val="en-GB" w:eastAsia="ro-RO"/>
              </w:rPr>
              <w:t>terea preconizat</w:t>
            </w:r>
            <w:r w:rsidRPr="00856846">
              <w:rPr>
                <w:rFonts w:ascii="Trebuchet MS" w:hAnsi="Trebuchet MS" w:cs="Trebuchet MS"/>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n cererea de transport.</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4. Evaluarea impactului actual al mobilităţii:</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4.1 Eficienţă economică:</w:t>
            </w:r>
          </w:p>
        </w:tc>
        <w:tc>
          <w:tcPr>
            <w:tcW w:w="4290" w:type="dxa"/>
          </w:tcPr>
          <w:p w:rsidR="009D0B1A"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at</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t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existente, c</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t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aferente scenariului “A face minimum” (scenariul de referin</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w:t>
            </w:r>
            <w:r w:rsidR="009D0B1A" w:rsidRPr="00856846">
              <w:rPr>
                <w:rFonts w:ascii="Trebuchet MS" w:hAnsi="Trebuchet MS" w:cs="Times New Roman"/>
                <w:color w:val="000000"/>
                <w:sz w:val="20"/>
                <w:szCs w:val="20"/>
                <w:lang w:val="en-GB" w:eastAsia="ro-RO"/>
              </w:rPr>
              <w:t>.</w:t>
            </w:r>
            <w:r w:rsidRPr="00856846">
              <w:rPr>
                <w:rFonts w:ascii="Trebuchet MS" w:hAnsi="Trebuchet MS" w:cs="Times New Roman"/>
                <w:color w:val="000000"/>
                <w:sz w:val="20"/>
                <w:szCs w:val="20"/>
                <w:lang w:val="en-GB" w:eastAsia="ro-RO"/>
              </w:rPr>
              <w:t xml:space="preserve">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Ținând seama de Scenariul “A nu face nimic” și de prognozele din P.M.U.D cu privire la tendințele demografice/economice/de transport etc., se construieste </w:t>
            </w:r>
            <w:r w:rsidRPr="00856846">
              <w:rPr>
                <w:rFonts w:ascii="Trebuchet MS" w:hAnsi="Trebuchet MS" w:cs="Times New Roman"/>
                <w:b/>
                <w:color w:val="000000"/>
                <w:sz w:val="20"/>
                <w:szCs w:val="20"/>
                <w:u w:val="single"/>
                <w:lang w:val="en-GB" w:eastAsia="ro-RO"/>
              </w:rPr>
              <w:t>scenariul “A face minimum” (sau se mai numeşte</w:t>
            </w:r>
            <w:r w:rsidR="00686463" w:rsidRPr="00856846">
              <w:rPr>
                <w:rFonts w:ascii="Trebuchet MS" w:hAnsi="Trebuchet MS" w:cs="Times New Roman"/>
                <w:b/>
                <w:color w:val="000000"/>
                <w:sz w:val="20"/>
                <w:szCs w:val="20"/>
                <w:u w:val="single"/>
                <w:lang w:val="en-GB" w:eastAsia="ro-RO"/>
              </w:rPr>
              <w:t xml:space="preserve"> </w:t>
            </w:r>
            <w:r w:rsidRPr="00856846">
              <w:rPr>
                <w:rFonts w:ascii="Trebuchet MS" w:hAnsi="Trebuchet MS" w:cs="Times New Roman"/>
                <w:b/>
                <w:color w:val="000000"/>
                <w:sz w:val="20"/>
                <w:szCs w:val="20"/>
                <w:u w:val="single"/>
                <w:lang w:val="en-GB" w:eastAsia="ro-RO"/>
              </w:rPr>
              <w:t>„Scenariul de referință”/ Scenariul „Continuarea activității curente-Business as usual”)</w:t>
            </w:r>
            <w:r w:rsidRPr="00856846">
              <w:rPr>
                <w:rFonts w:ascii="Trebuchet MS" w:hAnsi="Trebuchet MS" w:cs="Times New Roman"/>
                <w:color w:val="000000"/>
                <w:sz w:val="20"/>
                <w:szCs w:val="20"/>
                <w:lang w:val="en-GB" w:eastAsia="ro-RO"/>
              </w:rPr>
              <w:t>,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referinţă”(“A face minimum”) reprezintă situaţia viitoare faţă de care vor fi comparate scenariile „A face ceva” din P.M.U.D , precum și  proiectele individuale.</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w:t>
            </w:r>
            <w:r w:rsidR="003A4229" w:rsidRPr="00856846">
              <w:rPr>
                <w:rFonts w:ascii="Trebuchet MS" w:hAnsi="Trebuchet MS" w:cs="Times New Roman"/>
                <w:color w:val="000000"/>
                <w:sz w:val="20"/>
                <w:szCs w:val="20"/>
                <w:lang w:val="en-GB" w:eastAsia="ro-RO"/>
              </w:rPr>
              <w:t xml:space="preserve">rezentați analiza problemelor care constrâng eficiența economică a sistemului de transport. Aceasta include analiza congestiei, a întârzierilor și a factorilor care </w:t>
            </w:r>
            <w:r w:rsidR="003A4229" w:rsidRPr="00856846">
              <w:rPr>
                <w:rFonts w:ascii="Trebuchet MS" w:hAnsi="Trebuchet MS" w:cs="Times New Roman"/>
                <w:color w:val="000000"/>
                <w:sz w:val="20"/>
                <w:szCs w:val="20"/>
                <w:lang w:val="en-GB" w:eastAsia="ro-RO"/>
              </w:rPr>
              <w:lastRenderedPageBreak/>
              <w:t xml:space="preserve">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a operării serviciilor de transport public, precum și o analiză comparativă adecvată în vederea ilustrării punctelor slabe ale acestui sistem.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actual al mobilităţii din punct de vedere al criteriului privind Eficienţa economică.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4.2 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4.3. Accesibilitatea: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prezentați analiza problemelor care limitează accesibilitatea sistemului de </w:t>
            </w:r>
            <w:r w:rsidRPr="00856846">
              <w:rPr>
                <w:rFonts w:ascii="Trebuchet MS" w:hAnsi="Trebuchet MS" w:cs="Times New Roman"/>
                <w:color w:val="000000"/>
                <w:sz w:val="20"/>
                <w:szCs w:val="20"/>
                <w:lang w:val="en-GB" w:eastAsia="ro-RO"/>
              </w:rPr>
              <w:lastRenderedPageBreak/>
              <w:t>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Accesibilitatea.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4.4. Siguranța: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Siguranța.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4.5. Calitatea vieţii: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w:t>
            </w:r>
            <w:r w:rsidRPr="00856846">
              <w:rPr>
                <w:rFonts w:ascii="Trebuchet MS" w:hAnsi="Trebuchet MS" w:cs="Times New Roman"/>
                <w:color w:val="000000"/>
                <w:sz w:val="20"/>
                <w:szCs w:val="20"/>
                <w:lang w:val="en-GB" w:eastAsia="ro-RO"/>
              </w:rPr>
              <w:lastRenderedPageBreak/>
              <w:t>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Calitatea vieţii.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5.</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Viziunea de dezvoltare a mobilităţii urbane: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Viziunea prezentată pentru cele 3 nivele teritoriale (stabilite în sub-secțiunea 6.4):</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Viziunea pentru Mobilitatea Urbană-aceasta ar trebui să exprime ceea ce se intenționează să se obțină, prin implementarea P.M.U.D., la finalul perioadei stabilite. Viziunea poate fi structurată la scară metropolitană/arie funcțională, la scara localității și la scară detaliată (la nivel de cartier/intersecție/zone cu nivel ridicat de complexitate)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prezentat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pe termen scurt, mediu și lung.</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5.2 Cadrul/metodologia de selectare a proiectelor: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 xml:space="preserve">ire ale modelului) şi cum este folosit acel indicator pentru a stabili dacă rezultatul estimat este bun/rău.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a orașului. </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 xml:space="preserve">6. Direcţii de acţiune şi proiecte </w:t>
            </w:r>
            <w:r w:rsidRPr="00856846">
              <w:rPr>
                <w:rFonts w:ascii="Trebuchet MS" w:hAnsi="Trebuchet MS" w:cs="Times New Roman"/>
                <w:b/>
                <w:color w:val="000000"/>
                <w:sz w:val="20"/>
                <w:szCs w:val="20"/>
                <w:lang w:val="en-GB" w:eastAsia="ro-RO"/>
              </w:rPr>
              <w:lastRenderedPageBreak/>
              <w:t>de dezvoltare a mobilităţii urbane:</w:t>
            </w:r>
          </w:p>
        </w:tc>
        <w:tc>
          <w:tcPr>
            <w:tcW w:w="3081" w:type="dxa"/>
          </w:tcPr>
          <w:p w:rsidR="003A4229" w:rsidRPr="00856846" w:rsidRDefault="003A4229" w:rsidP="003A4229">
            <w:pPr>
              <w:tabs>
                <w:tab w:val="left" w:pos="1140"/>
              </w:tabs>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6.1. Direcţii de acţiune şi proiecte pentru infrastructura </w:t>
            </w:r>
            <w:r w:rsidRPr="00856846">
              <w:rPr>
                <w:rFonts w:ascii="Trebuchet MS" w:hAnsi="Trebuchet MS" w:cs="Times New Roman"/>
                <w:color w:val="000000"/>
                <w:sz w:val="20"/>
                <w:szCs w:val="20"/>
                <w:lang w:val="en-GB" w:eastAsia="ro-RO"/>
              </w:rPr>
              <w:lastRenderedPageBreak/>
              <w:t>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Prezentați proiectele ce vizează investiții de capital și care au fost selectate ca urmare a </w:t>
            </w:r>
            <w:r w:rsidRPr="00856846">
              <w:rPr>
                <w:rFonts w:ascii="Trebuchet MS" w:hAnsi="Trebuchet MS" w:cs="Times New Roman"/>
                <w:color w:val="000000"/>
                <w:sz w:val="20"/>
                <w:szCs w:val="20"/>
                <w:lang w:val="en-GB" w:eastAsia="ro-RO"/>
              </w:rPr>
              <w:lastRenderedPageBreak/>
              <w:t>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856846">
              <w:rPr>
                <w:rFonts w:ascii="Trebuchet MS" w:hAnsi="Trebuchet MS" w:cs="Times New Roman"/>
                <w:sz w:val="20"/>
                <w:szCs w:val="20"/>
                <w:lang w:val="en-GB" w:eastAsia="en-GB"/>
              </w:rPr>
              <w:t xml:space="preserve"> urmare a </w:t>
            </w:r>
            <w:r w:rsidRPr="00856846">
              <w:rPr>
                <w:rFonts w:ascii="Trebuchet MS" w:hAnsi="Trebuchet MS" w:cs="Times New Roman"/>
                <w:color w:val="000000"/>
                <w:sz w:val="20"/>
                <w:szCs w:val="20"/>
                <w:lang w:val="en-GB" w:eastAsia="ro-RO"/>
              </w:rPr>
              <w:t>aplicării cadrului de selectare a proiectelor de la subsecţiunea 5.2.</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care a fost dezvoltat mai mult de 1 scenariu alternativ “A face ceva”</w:t>
            </w:r>
            <w:r w:rsidRPr="00856846">
              <w:rPr>
                <w:rFonts w:ascii="Trebuchet MS" w:hAnsi="Trebuchet MS" w:cs="Times New Roman"/>
                <w:color w:val="000000"/>
                <w:sz w:val="20"/>
                <w:szCs w:val="20"/>
                <w:vertAlign w:val="superscript"/>
                <w:lang w:val="en-GB" w:eastAsia="ro-RO"/>
              </w:rPr>
              <w:footnoteReference w:id="3"/>
            </w:r>
            <w:r w:rsidRPr="00856846">
              <w:rPr>
                <w:rFonts w:ascii="Trebuchet MS" w:hAnsi="Trebuchet MS" w:cs="Times New Roman"/>
                <w:color w:val="000000"/>
                <w:sz w:val="20"/>
                <w:szCs w:val="20"/>
                <w:lang w:val="en-GB" w:eastAsia="ro-RO"/>
              </w:rPr>
              <w:t xml:space="preserve"> (</w:t>
            </w:r>
            <w:r w:rsidR="001971BD" w:rsidRPr="00856846">
              <w:rPr>
                <w:rFonts w:ascii="Trebuchet MS" w:hAnsi="Trebuchet MS" w:cs="Times New Roman"/>
                <w:color w:val="000000"/>
                <w:sz w:val="20"/>
                <w:szCs w:val="20"/>
                <w:lang w:val="en-GB" w:eastAsia="ro-RO"/>
              </w:rPr>
              <w:t>obligatoriu</w:t>
            </w:r>
            <w:r w:rsidRPr="00856846">
              <w:rPr>
                <w:rFonts w:ascii="Trebuchet MS" w:hAnsi="Trebuchet MS" w:cs="Times New Roman"/>
                <w:color w:val="000000"/>
                <w:sz w:val="20"/>
                <w:szCs w:val="20"/>
                <w:lang w:val="en-GB" w:eastAsia="ro-RO"/>
              </w:rPr>
              <w:t>, pentru municipiile de rang</w:t>
            </w:r>
            <w:r w:rsidR="00053FD8" w:rsidRPr="00856846">
              <w:rPr>
                <w:rFonts w:ascii="Trebuchet MS" w:hAnsi="Trebuchet MS" w:cs="Times New Roman"/>
                <w:color w:val="000000"/>
                <w:sz w:val="20"/>
                <w:szCs w:val="20"/>
                <w:lang w:val="en-GB" w:eastAsia="ro-RO"/>
              </w:rPr>
              <w:t xml:space="preserve"> 0 şi</w:t>
            </w:r>
            <w:r w:rsidRPr="00856846">
              <w:rPr>
                <w:rFonts w:ascii="Trebuchet MS" w:hAnsi="Trebuchet MS" w:cs="Times New Roman"/>
                <w:color w:val="000000"/>
                <w:sz w:val="20"/>
                <w:szCs w:val="20"/>
                <w:lang w:val="en-GB" w:eastAsia="ro-RO"/>
              </w:rPr>
              <w:t xml:space="preserve"> 1), toate acele scenarii au fost prezentate împreună cu motivul și raționamentul dezvoltării fiecăruia</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și au fost testate cu modelul de transport. </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Scenariul „Do something”-“A face ceva”</w:t>
            </w:r>
            <w:r w:rsidRPr="00856846">
              <w:rPr>
                <w:rFonts w:ascii="Trebuchet MS" w:hAnsi="Trebuchet MS" w:cs="Times New Roman"/>
                <w:color w:val="000000"/>
                <w:sz w:val="20"/>
                <w:szCs w:val="2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viitoare de timp (de ex. 2020/2025/2030, după caz). Pentru municipiile de rang 0 și 1, în cadrul P.M.U.D se va dezvolta mai mult de un scenariu alternativ “A face ceva” la nivel de pachete de proiecte propuse.</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situația în care în cadrul P.M.U.D, se va dezvolta mai mult de un scenariu alternativ “A face ceva”, se va selecta dintre acestea un </w:t>
            </w:r>
            <w:r w:rsidRPr="00856846">
              <w:rPr>
                <w:rFonts w:ascii="Trebuchet MS" w:hAnsi="Trebuchet MS" w:cs="Times New Roman"/>
                <w:b/>
                <w:color w:val="000000"/>
                <w:sz w:val="20"/>
                <w:szCs w:val="20"/>
                <w:lang w:val="en-GB" w:eastAsia="ro-RO"/>
              </w:rPr>
              <w:t>Scenariul “A face ceva” optim</w:t>
            </w:r>
            <w:r w:rsidRPr="00856846">
              <w:rPr>
                <w:rFonts w:ascii="Trebuchet MS" w:hAnsi="Trebuchet MS" w:cs="Times New Roman"/>
                <w:color w:val="000000"/>
                <w:sz w:val="20"/>
                <w:szCs w:val="2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w:t>
            </w:r>
            <w:r w:rsidRPr="00856846">
              <w:rPr>
                <w:rFonts w:ascii="Trebuchet MS" w:hAnsi="Trebuchet MS" w:cs="Times New Roman"/>
                <w:color w:val="000000"/>
                <w:sz w:val="20"/>
                <w:szCs w:val="20"/>
                <w:lang w:val="en-GB" w:eastAsia="ro-RO"/>
              </w:rPr>
              <w:lastRenderedPageBreak/>
              <w:t xml:space="preserve">scurt/mediu/lung, cât și ca proiecte prioritare și de rezervă.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vedere exemplele de bune practici implementate cu success de alte ora</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e din Rom</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nia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din alte </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6.2. Direcţii de acţiune şi proiecte operaţionale: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contractarea serviciilor publice de transport, de ex. în conformitate cu Regulamentul (CE) nr. 1370/2007, un nou model de finanțare a transportului public),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acele P.M.U.D, în care a fost dezvoltat mai mult de 1 scenariu alternativ “A face ceva” (</w:t>
            </w:r>
            <w:r w:rsidR="001971BD" w:rsidRPr="00856846">
              <w:rPr>
                <w:rFonts w:ascii="Trebuchet MS" w:hAnsi="Trebuchet MS" w:cs="Times New Roman"/>
                <w:color w:val="000000"/>
                <w:sz w:val="20"/>
                <w:szCs w:val="20"/>
                <w:lang w:val="en-GB" w:eastAsia="ro-RO"/>
              </w:rPr>
              <w:t xml:space="preserve">obligatoriu, </w:t>
            </w:r>
            <w:r w:rsidRPr="00856846">
              <w:rPr>
                <w:rFonts w:ascii="Trebuchet MS" w:hAnsi="Trebuchet MS" w:cs="Times New Roman"/>
                <w:color w:val="000000"/>
                <w:sz w:val="20"/>
                <w:szCs w:val="20"/>
                <w:lang w:val="en-GB" w:eastAsia="ro-RO"/>
              </w:rPr>
              <w:t>pentru municipiile de rang 1), toate acele scenarii au fost prezentate, împreună cu motivul și raționamentul dezvoltării fiecăruia și au fost testate cu modelul de transport.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Pot fi avute în vedere exemplele de bune practici implementate cu success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6.3. Direcţii de acţiune şi proiecte organizaţionale: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w:t>
            </w:r>
            <w:r w:rsidR="00053FD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în care a fost dezvoltat mai mult de 1 scenariu alternativ “A face ceva”, toate acele scenarii au fost prezentate, împreună cu motivul și raționamentul dezvoltării fiecăruia și au fost </w:t>
            </w:r>
            <w:r w:rsidRPr="00856846">
              <w:rPr>
                <w:rFonts w:ascii="Trebuchet MS" w:hAnsi="Trebuchet MS" w:cs="Times New Roman"/>
                <w:color w:val="000000"/>
                <w:sz w:val="20"/>
                <w:szCs w:val="20"/>
                <w:lang w:val="en-GB" w:eastAsia="ro-RO"/>
              </w:rPr>
              <w:lastRenderedPageBreak/>
              <w:t xml:space="preserve">testate cu modelul de transport.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în vedere exemplele de bune </w:t>
            </w:r>
            <w:r w:rsidR="00140C00" w:rsidRPr="00856846">
              <w:rPr>
                <w:rFonts w:ascii="Trebuchet MS" w:hAnsi="Trebuchet MS" w:cs="Times New Roman"/>
                <w:color w:val="000000"/>
                <w:sz w:val="20"/>
                <w:szCs w:val="20"/>
                <w:lang w:val="en-GB" w:eastAsia="ro-RO"/>
              </w:rPr>
              <w:t>practici implementate cu succes</w:t>
            </w:r>
            <w:r w:rsidRPr="00856846">
              <w:rPr>
                <w:rFonts w:ascii="Trebuchet MS" w:hAnsi="Trebuchet MS" w:cs="Times New Roman"/>
                <w:color w:val="000000"/>
                <w:sz w:val="20"/>
                <w:szCs w:val="20"/>
                <w:lang w:val="en-GB" w:eastAsia="ro-RO"/>
              </w:rPr>
              <w:t xml:space="preserve">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 Direcţii de acţiune şi proiecte partajate pe nivele teritoriale: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6.4.1. La scară periurbană/metropolitană;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6.4.2. La scara localităţilor de referinţă;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6.4.3. La nivelul cartierelor/zonelor cu nivel ridicat de complexitate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Luați listele finale de măsuri și proiecte de mai sus (subsecțiunile 6.1, 6.2 și 6.3) și regrupați-le pe cele trei nivele teritoriale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subsecțiunile 6.4.1, 6.4.2 și 6.4.3).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Când o măsură/proiect acoperă mai mult de un nivel teritorial, se va include în toate nivelele teritoriale relevante.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7.</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Evaluarea impactului mobilităţii pentru cele 3 nivele teritoriale: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7.1. Eficienţă economică: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 (dacă e cazul) /proiectelor/măsurilor asupra obiectivului strategic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 utilizând indicatorii stabiliți în secțiunea 4.2. Utilizați indicatorii de rezultat din model,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7.3.Accesibilitate: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 (dacă e cazul)/proiectelor/măsurilor asupra obiectivului strategic privind Accesibilitatea, utilizând indicatorii stabiliți în secțiunea 4.3.</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Siguranţă:</w:t>
            </w:r>
          </w:p>
        </w:tc>
        <w:tc>
          <w:tcPr>
            <w:tcW w:w="4290" w:type="dxa"/>
          </w:tcPr>
          <w:p w:rsidR="003A4229" w:rsidRPr="00856846" w:rsidRDefault="003A4229" w:rsidP="003A4229">
            <w:pPr>
              <w:tabs>
                <w:tab w:val="left" w:pos="159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  (dacă e cazul) /proiectelor/măsurilor asupra obiectivului strategic privind Siguranţa, utilizând indicatorii stabiliți în secțiunea 4.4.</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Calitatea vieţii:</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  (dacă e cazul)/proiectelor/măsurilor asupra obiectivului strategic privind  Calitatea vieţii, utilizând indicatorii stabiliți în secțiunea 4.5.</w:t>
            </w: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(2) P.M.U.D. - componenta de nivel operaţional (corespunzătoare etapei 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1 Cadrul pentru prioritizarea proiectelor pe termen scurt, mediu şi lung:</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Cadrul de prioritizare: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În cazul P.M.U.D în care sunt dezvoltate mai multe scenarii “A face ceva”, comparaţi impactul fiecărui scenariu şi prezentaţi cum este selectat scenariul preferat pe baza criteriilor de evaluare.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Descrieți măsurile și proiectele care vor fi implementate pe termen scurt, mediu și lung din scenariul selectat.  Definiți perioada relevantă aferentă (în ani) pentru termenul scurt, mediu și lung. Justificați cum au fost selectate proiectele și măsurile pentru fiecare perioadă și explicați de ce prioritizarea aleasă este cea mai potrivită.</w:t>
            </w:r>
          </w:p>
        </w:tc>
      </w:tr>
      <w:tr w:rsidR="003A4229" w:rsidRPr="00856846" w:rsidTr="00673699">
        <w:trPr>
          <w:trHeight w:val="782"/>
        </w:trPr>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Priorităţile stabilite: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Prezentați/reiteraţi prioritățile principale propuse a fi implementate pe termen scurt și relația acestora cu măsurile/proiectele prioritizate. Includeți o verificare a impactului întregii strategii în cazul în care nu se implementează fiecare proiect/măsură și un plan de rezervă, dacă este necesar.</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 Planul de acţiune: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Intervenţii majore asupra reţelei stradale: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a </w:t>
            </w:r>
            <w:r w:rsidRPr="00856846">
              <w:rPr>
                <w:rFonts w:ascii="Trebuchet MS" w:hAnsi="Trebuchet MS" w:cs="Times New Roman"/>
                <w:color w:val="000000"/>
                <w:sz w:val="20"/>
                <w:szCs w:val="20"/>
                <w:lang w:val="en-GB" w:eastAsia="ro-RO"/>
              </w:rPr>
              <w:t>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Transport public:</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de marfă: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rPr>
          <w:trHeight w:val="115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Mijloace alternative de mobilitate (deplasări cu bicicleta, mersul pe jos şi persoane cu mobilitate redusă): </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Managementul traficului (staţionarea, siguranţa în trafic, sisteme inteligente de transport, signalistică, protecţia împotriva zgomotului/sonoră):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rPr>
          <w:trHeight w:val="274"/>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 Zonele cu nivel ridicat de complexitate (zone centrale protejate, zone logistice, poli ocazionali de atracţie/generare de trafic, zone intermodale - gări, aerogări etc.);:</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 Structura intermodală şi operaţiuni urbanistice necesare;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24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2.8. Aspecte instituţionale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(3) Monitorizarea implementării Planului de mobilitate urbană (corespunzătoare etapei III)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proceduri de evaluare a implementării P.M.U.D:</w:t>
            </w:r>
            <w:r w:rsidRPr="00856846">
              <w:rPr>
                <w:rFonts w:ascii="Trebuchet MS" w:hAnsi="Trebuchet MS" w:cs="Times New Roman"/>
                <w:b/>
                <w:color w:val="000000"/>
                <w:sz w:val="20"/>
                <w:szCs w:val="20"/>
                <w:lang w:val="en-GB" w:eastAsia="ro-RO"/>
              </w:rPr>
              <w:br/>
            </w: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și detaliați mecanismele de monitorizare și evaluare a succesului P.M.U.D.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strategia de monitorizare și evaluare a P.M.U.D., incluzând selecția indicatorilor de performanță/ criteriilor de </w:t>
            </w:r>
            <w:r w:rsidRPr="00856846">
              <w:rPr>
                <w:rFonts w:ascii="Trebuchet MS" w:hAnsi="Trebuchet MS" w:cs="Times New Roman"/>
                <w:color w:val="000000"/>
                <w:sz w:val="20"/>
                <w:szCs w:val="20"/>
                <w:lang w:val="en-GB" w:eastAsia="ro-RO"/>
              </w:rPr>
              <w:lastRenderedPageBreak/>
              <w:t>evaluare a schimbărilor care se vor produce în diferitele moduri de transport, prin implementarea Planului.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actori responsabili cu monitorizarea:</w:t>
            </w:r>
            <w:r w:rsidRPr="00856846">
              <w:rPr>
                <w:rFonts w:ascii="Trebuchet MS" w:hAnsi="Trebuchet MS" w:cs="Times New Roman"/>
                <w:b/>
                <w:color w:val="000000"/>
                <w:sz w:val="20"/>
                <w:szCs w:val="20"/>
                <w:lang w:val="en-GB" w:eastAsia="ro-RO"/>
              </w:rPr>
              <w:br/>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actorii care vor fi responsabili cu monitorizarea și evaluarea P.M.U.D. Prezentați responsabilitățile și atribuțiile fiecărui actor în parte.</w:t>
            </w:r>
          </w:p>
        </w:tc>
      </w:tr>
    </w:tbl>
    <w:p w:rsidR="003A4229" w:rsidRPr="00856846" w:rsidRDefault="003A4229" w:rsidP="003A4229">
      <w:pPr>
        <w:spacing w:after="0" w:line="240" w:lineRule="auto"/>
        <w:jc w:val="both"/>
        <w:rPr>
          <w:rFonts w:ascii="Trebuchet MS" w:hAnsi="Trebuchet MS" w:cs="Times New Roman"/>
          <w:sz w:val="20"/>
          <w:szCs w:val="20"/>
          <w:lang w:val="en-GB" w:eastAsia="en-GB"/>
        </w:rPr>
      </w:pPr>
    </w:p>
    <w:p w:rsidR="00283D9E" w:rsidRPr="00856846" w:rsidRDefault="00283D9E" w:rsidP="009A0945">
      <w:pPr>
        <w:tabs>
          <w:tab w:val="left" w:pos="3481"/>
        </w:tabs>
        <w:jc w:val="both"/>
        <w:rPr>
          <w:rFonts w:ascii="Trebuchet MS" w:hAnsi="Trebuchet MS"/>
          <w:sz w:val="20"/>
          <w:szCs w:val="20"/>
        </w:rPr>
      </w:pPr>
    </w:p>
    <w:p w:rsidR="00283D9E" w:rsidRPr="00856846" w:rsidRDefault="00283D9E" w:rsidP="00283D9E">
      <w:pPr>
        <w:rPr>
          <w:rFonts w:ascii="Trebuchet MS" w:hAnsi="Trebuchet MS"/>
          <w:sz w:val="20"/>
          <w:szCs w:val="20"/>
        </w:rPr>
      </w:pPr>
    </w:p>
    <w:p w:rsidR="00283D9E" w:rsidRPr="00856846" w:rsidRDefault="00283D9E" w:rsidP="00283D9E">
      <w:pPr>
        <w:pStyle w:val="ListParagraph"/>
        <w:rPr>
          <w:rFonts w:ascii="Trebuchet MS" w:eastAsia="Times New Roman" w:hAnsi="Trebuchet MS" w:cstheme="minorHAnsi"/>
          <w:b/>
          <w:bCs/>
          <w:caps/>
          <w:sz w:val="20"/>
          <w:szCs w:val="20"/>
        </w:rPr>
      </w:pPr>
    </w:p>
    <w:sectPr w:rsidR="00283D9E" w:rsidRPr="00856846" w:rsidSect="0033680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7B" w:rsidRDefault="007D267B" w:rsidP="003A70FA">
      <w:pPr>
        <w:spacing w:after="0" w:line="240" w:lineRule="auto"/>
      </w:pPr>
      <w:r>
        <w:separator/>
      </w:r>
    </w:p>
  </w:endnote>
  <w:endnote w:type="continuationSeparator" w:id="0">
    <w:p w:rsidR="007D267B" w:rsidRDefault="007D267B"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8F16B5">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7B" w:rsidRDefault="007D267B" w:rsidP="003A70FA">
      <w:pPr>
        <w:spacing w:after="0" w:line="240" w:lineRule="auto"/>
      </w:pPr>
      <w:r>
        <w:separator/>
      </w:r>
    </w:p>
  </w:footnote>
  <w:footnote w:type="continuationSeparator" w:id="0">
    <w:p w:rsidR="007D267B" w:rsidRDefault="007D267B"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A4CAB" w:rsidTr="00EA4CAB">
      <w:tc>
        <w:tcPr>
          <w:tcW w:w="8041" w:type="dxa"/>
          <w:tcBorders>
            <w:top w:val="nil"/>
            <w:left w:val="nil"/>
            <w:bottom w:val="single" w:sz="4" w:space="0" w:color="333333"/>
            <w:right w:val="nil"/>
          </w:tcBorders>
        </w:tcPr>
        <w:p w:rsidR="00EA4CAB" w:rsidRDefault="00EA4CAB">
          <w:pPr>
            <w:tabs>
              <w:tab w:val="left" w:pos="5295"/>
            </w:tabs>
            <w:spacing w:after="0" w:line="240" w:lineRule="auto"/>
            <w:rPr>
              <w:rFonts w:ascii="Trebuchet MS" w:eastAsia="Times New Roman" w:hAnsi="Trebuchet MS" w:cs="Arial"/>
              <w:sz w:val="14"/>
              <w:szCs w:val="24"/>
            </w:rPr>
          </w:pPr>
          <w:r>
            <w:rPr>
              <w:rFonts w:ascii="Trebuchet MS" w:eastAsia="Times New Roman" w:hAnsi="Trebuchet MS" w:cs="Arial"/>
              <w:sz w:val="14"/>
              <w:szCs w:val="24"/>
            </w:rPr>
            <w:t>Programul Operaţional Regional 2014-2020</w:t>
          </w:r>
          <w:r>
            <w:rPr>
              <w:rFonts w:ascii="Trebuchet MS" w:eastAsia="Times New Roman" w:hAnsi="Trebuchet MS" w:cs="Arial"/>
              <w:sz w:val="14"/>
              <w:szCs w:val="24"/>
            </w:rPr>
            <w:tab/>
          </w:r>
        </w:p>
        <w:p w:rsidR="00EA4CAB" w:rsidRDefault="00EA4CAB">
          <w:pPr>
            <w:tabs>
              <w:tab w:val="center" w:pos="4536"/>
              <w:tab w:val="right" w:pos="9072"/>
            </w:tabs>
            <w:spacing w:after="0" w:line="240" w:lineRule="auto"/>
            <w:rPr>
              <w:rFonts w:ascii="Trebuchet MS" w:eastAsia="Times New Roman" w:hAnsi="Trebuchet MS" w:cs="Arial"/>
              <w:sz w:val="14"/>
              <w:szCs w:val="24"/>
            </w:rPr>
          </w:pPr>
        </w:p>
      </w:tc>
      <w:tc>
        <w:tcPr>
          <w:tcW w:w="1156" w:type="dxa"/>
          <w:tcBorders>
            <w:top w:val="nil"/>
            <w:left w:val="nil"/>
            <w:bottom w:val="single" w:sz="4" w:space="0" w:color="333333"/>
            <w:right w:val="nil"/>
          </w:tcBorders>
        </w:tcPr>
        <w:p w:rsidR="00EA4CAB" w:rsidRDefault="00EA4CAB">
          <w:pPr>
            <w:tabs>
              <w:tab w:val="center" w:pos="4536"/>
              <w:tab w:val="right" w:pos="9072"/>
            </w:tabs>
            <w:spacing w:after="0" w:line="240" w:lineRule="auto"/>
            <w:jc w:val="center"/>
            <w:rPr>
              <w:rFonts w:ascii="Trebuchet MS" w:eastAsia="Times New Roman" w:hAnsi="Trebuchet MS" w:cs="Arial"/>
              <w:sz w:val="14"/>
              <w:szCs w:val="24"/>
            </w:rPr>
          </w:pPr>
        </w:p>
      </w:tc>
    </w:tr>
    <w:tr w:rsidR="00EA4CAB" w:rsidTr="00EA4CAB">
      <w:trPr>
        <w:cantSplit/>
      </w:trPr>
      <w:tc>
        <w:tcPr>
          <w:tcW w:w="9197" w:type="dxa"/>
          <w:gridSpan w:val="2"/>
          <w:tcBorders>
            <w:top w:val="single" w:sz="4" w:space="0" w:color="333333"/>
            <w:left w:val="nil"/>
            <w:bottom w:val="nil"/>
            <w:right w:val="nil"/>
          </w:tcBorders>
          <w:hideMark/>
        </w:tcPr>
        <w:p w:rsidR="00EA4CAB" w:rsidRDefault="00EA4CAB" w:rsidP="001A6F62">
          <w:pPr>
            <w:tabs>
              <w:tab w:val="center" w:pos="4536"/>
              <w:tab w:val="right" w:pos="9072"/>
            </w:tabs>
            <w:spacing w:after="0" w:line="240" w:lineRule="auto"/>
            <w:jc w:val="center"/>
            <w:rPr>
              <w:rFonts w:ascii="Trebuchet MS" w:eastAsia="Times New Roman" w:hAnsi="Trebuchet MS" w:cs="Arial"/>
              <w:bCs/>
              <w:sz w:val="14"/>
              <w:szCs w:val="24"/>
            </w:rPr>
          </w:pPr>
          <w:r>
            <w:rPr>
              <w:rFonts w:ascii="Trebuchet MS" w:eastAsia="Times New Roman" w:hAnsi="Trebuchet MS" w:cs="Times New Roman"/>
              <w:bCs/>
              <w:sz w:val="14"/>
              <w:szCs w:val="24"/>
            </w:rPr>
            <w:t xml:space="preserve">  </w:t>
          </w:r>
        </w:p>
      </w:tc>
    </w:tr>
    <w:tr w:rsidR="00EA4CAB" w:rsidTr="00EA4CAB">
      <w:trPr>
        <w:cantSplit/>
      </w:trPr>
      <w:tc>
        <w:tcPr>
          <w:tcW w:w="9197" w:type="dxa"/>
          <w:gridSpan w:val="2"/>
          <w:tcBorders>
            <w:top w:val="nil"/>
            <w:left w:val="nil"/>
            <w:bottom w:val="nil"/>
            <w:right w:val="nil"/>
          </w:tcBorders>
        </w:tcPr>
        <w:p w:rsidR="001A6F62" w:rsidRDefault="001A6F62">
          <w:pPr>
            <w:tabs>
              <w:tab w:val="center" w:pos="4536"/>
              <w:tab w:val="right" w:pos="9072"/>
            </w:tabs>
            <w:spacing w:after="0" w:line="240" w:lineRule="auto"/>
            <w:jc w:val="right"/>
            <w:rPr>
              <w:rFonts w:ascii="Trebuchet MS" w:eastAsia="Times New Roman" w:hAnsi="Trebuchet MS" w:cs="Arial"/>
              <w:bCs/>
              <w:sz w:val="14"/>
              <w:szCs w:val="24"/>
            </w:rPr>
          </w:pPr>
          <w:r w:rsidRPr="00EE01CD">
            <w:rPr>
              <w:b/>
              <w:bCs/>
              <w:i/>
              <w:color w:val="808080"/>
              <w:sz w:val="14"/>
            </w:rPr>
            <w:t>Ghidul Solicitantului – Condiții specifice de accesare a fondurilor în cadrul apelurilor</w:t>
          </w:r>
          <w:r w:rsidR="008F16B5">
            <w:rPr>
              <w:b/>
              <w:bCs/>
              <w:i/>
              <w:color w:val="808080"/>
              <w:sz w:val="14"/>
            </w:rPr>
            <w:t xml:space="preserve"> de proiecte cu numărul POR/2019/3/3.2/3</w:t>
          </w:r>
          <w:r w:rsidRPr="00EE01CD">
            <w:rPr>
              <w:b/>
              <w:bCs/>
              <w:i/>
              <w:color w:val="808080"/>
              <w:sz w:val="14"/>
            </w:rPr>
            <w:t xml:space="preserve">/7 REGIUNI/în parteneriat și </w:t>
          </w:r>
          <w:r w:rsidR="008F16B5">
            <w:rPr>
              <w:b/>
              <w:bCs/>
              <w:i/>
              <w:color w:val="808080"/>
              <w:sz w:val="14"/>
            </w:rPr>
            <w:t>POR/2019</w:t>
          </w:r>
          <w:r w:rsidRPr="00EE01CD">
            <w:rPr>
              <w:b/>
              <w:bCs/>
              <w:i/>
              <w:color w:val="808080"/>
              <w:sz w:val="14"/>
            </w:rPr>
            <w:t>/3/3.2/2/ITI/în parteneriat</w:t>
          </w:r>
        </w:p>
        <w:p w:rsidR="00EA4CAB" w:rsidRDefault="001A6F62">
          <w:pPr>
            <w:tabs>
              <w:tab w:val="center" w:pos="4536"/>
              <w:tab w:val="right" w:pos="9072"/>
            </w:tabs>
            <w:spacing w:after="0" w:line="240" w:lineRule="auto"/>
            <w:jc w:val="right"/>
            <w:rPr>
              <w:rFonts w:ascii="Trebuchet MS" w:eastAsia="Times New Roman" w:hAnsi="Trebuchet MS" w:cs="Arial"/>
              <w:bCs/>
              <w:sz w:val="14"/>
              <w:szCs w:val="24"/>
            </w:rPr>
          </w:pPr>
          <w:r>
            <w:rPr>
              <w:rFonts w:ascii="Trebuchet MS" w:eastAsia="Times New Roman" w:hAnsi="Trebuchet MS" w:cs="Arial"/>
              <w:bCs/>
              <w:sz w:val="14"/>
              <w:szCs w:val="24"/>
            </w:rPr>
            <w:t>Anexa 3.2.5</w:t>
          </w: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p>
      </w:tc>
    </w:tr>
  </w:tbl>
  <w:p w:rsidR="0028548B" w:rsidRPr="003B60A2" w:rsidRDefault="0028548B" w:rsidP="003B60A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15:restartNumberingAfterBreak="0">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15:restartNumberingAfterBreak="0">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15:restartNumberingAfterBreak="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15:restartNumberingAfterBreak="0">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15:restartNumberingAfterBreak="0">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15:restartNumberingAfterBreak="0">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15:restartNumberingAfterBreak="0">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15:restartNumberingAfterBreak="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15:restartNumberingAfterBreak="0">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3481E"/>
    <w:rsid w:val="0004509B"/>
    <w:rsid w:val="00053FD8"/>
    <w:rsid w:val="000709B4"/>
    <w:rsid w:val="000736C2"/>
    <w:rsid w:val="00087947"/>
    <w:rsid w:val="000A42FE"/>
    <w:rsid w:val="000C51F2"/>
    <w:rsid w:val="000D047D"/>
    <w:rsid w:val="00112BCE"/>
    <w:rsid w:val="00116D0A"/>
    <w:rsid w:val="00140C00"/>
    <w:rsid w:val="00147932"/>
    <w:rsid w:val="001547D7"/>
    <w:rsid w:val="00155C96"/>
    <w:rsid w:val="00170F31"/>
    <w:rsid w:val="00192201"/>
    <w:rsid w:val="00196EB1"/>
    <w:rsid w:val="001971BD"/>
    <w:rsid w:val="001A6DBA"/>
    <w:rsid w:val="001A6F62"/>
    <w:rsid w:val="001B6117"/>
    <w:rsid w:val="001C009E"/>
    <w:rsid w:val="001C4CF0"/>
    <w:rsid w:val="001F3244"/>
    <w:rsid w:val="0022361F"/>
    <w:rsid w:val="002320E9"/>
    <w:rsid w:val="002422A8"/>
    <w:rsid w:val="002671C2"/>
    <w:rsid w:val="00283D9E"/>
    <w:rsid w:val="00283DE2"/>
    <w:rsid w:val="002844FB"/>
    <w:rsid w:val="00285421"/>
    <w:rsid w:val="0028548B"/>
    <w:rsid w:val="002854F7"/>
    <w:rsid w:val="002E4434"/>
    <w:rsid w:val="002E6D15"/>
    <w:rsid w:val="002F2B63"/>
    <w:rsid w:val="00321373"/>
    <w:rsid w:val="003266C8"/>
    <w:rsid w:val="00336807"/>
    <w:rsid w:val="003401D2"/>
    <w:rsid w:val="00384C78"/>
    <w:rsid w:val="00395305"/>
    <w:rsid w:val="003A343F"/>
    <w:rsid w:val="003A4229"/>
    <w:rsid w:val="003A70FA"/>
    <w:rsid w:val="003B1A70"/>
    <w:rsid w:val="003B60A2"/>
    <w:rsid w:val="003D1B3C"/>
    <w:rsid w:val="003E032E"/>
    <w:rsid w:val="003E6030"/>
    <w:rsid w:val="00407A5B"/>
    <w:rsid w:val="00410106"/>
    <w:rsid w:val="0042377B"/>
    <w:rsid w:val="004349BF"/>
    <w:rsid w:val="00435ACA"/>
    <w:rsid w:val="004379C0"/>
    <w:rsid w:val="00441EDA"/>
    <w:rsid w:val="004575AA"/>
    <w:rsid w:val="00461CC7"/>
    <w:rsid w:val="0046545A"/>
    <w:rsid w:val="00470369"/>
    <w:rsid w:val="004772E4"/>
    <w:rsid w:val="004815DB"/>
    <w:rsid w:val="00482294"/>
    <w:rsid w:val="00492068"/>
    <w:rsid w:val="004B2D3D"/>
    <w:rsid w:val="004C6217"/>
    <w:rsid w:val="004E41DB"/>
    <w:rsid w:val="004E4B48"/>
    <w:rsid w:val="00507351"/>
    <w:rsid w:val="00526623"/>
    <w:rsid w:val="00531A34"/>
    <w:rsid w:val="00536C45"/>
    <w:rsid w:val="00543E22"/>
    <w:rsid w:val="00547DD9"/>
    <w:rsid w:val="00571442"/>
    <w:rsid w:val="00575B5E"/>
    <w:rsid w:val="00575F72"/>
    <w:rsid w:val="005B5A4E"/>
    <w:rsid w:val="005C4FBA"/>
    <w:rsid w:val="005D48D7"/>
    <w:rsid w:val="005D5DAD"/>
    <w:rsid w:val="005E6D5A"/>
    <w:rsid w:val="00601F9C"/>
    <w:rsid w:val="006063B1"/>
    <w:rsid w:val="006745D6"/>
    <w:rsid w:val="00680275"/>
    <w:rsid w:val="006805CD"/>
    <w:rsid w:val="0068560C"/>
    <w:rsid w:val="00686463"/>
    <w:rsid w:val="006C40D7"/>
    <w:rsid w:val="006C6058"/>
    <w:rsid w:val="006D7AB2"/>
    <w:rsid w:val="006F5F91"/>
    <w:rsid w:val="00706EE6"/>
    <w:rsid w:val="00712B3F"/>
    <w:rsid w:val="0071698A"/>
    <w:rsid w:val="007554A7"/>
    <w:rsid w:val="00765410"/>
    <w:rsid w:val="00783618"/>
    <w:rsid w:val="00794908"/>
    <w:rsid w:val="007C03BA"/>
    <w:rsid w:val="007D267B"/>
    <w:rsid w:val="008037E8"/>
    <w:rsid w:val="00806312"/>
    <w:rsid w:val="0082199B"/>
    <w:rsid w:val="00825E47"/>
    <w:rsid w:val="0083360B"/>
    <w:rsid w:val="00840D34"/>
    <w:rsid w:val="0084256E"/>
    <w:rsid w:val="00856846"/>
    <w:rsid w:val="00867881"/>
    <w:rsid w:val="008A4BE1"/>
    <w:rsid w:val="008C593D"/>
    <w:rsid w:val="008E7ACA"/>
    <w:rsid w:val="008F105F"/>
    <w:rsid w:val="008F16B5"/>
    <w:rsid w:val="00910BF0"/>
    <w:rsid w:val="00916E3E"/>
    <w:rsid w:val="009276C6"/>
    <w:rsid w:val="00935E66"/>
    <w:rsid w:val="00976D8C"/>
    <w:rsid w:val="009926E7"/>
    <w:rsid w:val="009A0945"/>
    <w:rsid w:val="009B2273"/>
    <w:rsid w:val="009B25AC"/>
    <w:rsid w:val="009C083A"/>
    <w:rsid w:val="009C70A8"/>
    <w:rsid w:val="009D0B1A"/>
    <w:rsid w:val="009D385D"/>
    <w:rsid w:val="009E6F50"/>
    <w:rsid w:val="009F2BAE"/>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3D09"/>
    <w:rsid w:val="00BA4A67"/>
    <w:rsid w:val="00BB38B0"/>
    <w:rsid w:val="00BC05C8"/>
    <w:rsid w:val="00BD2EB0"/>
    <w:rsid w:val="00BD4CBB"/>
    <w:rsid w:val="00BF3843"/>
    <w:rsid w:val="00C04C23"/>
    <w:rsid w:val="00C10CCF"/>
    <w:rsid w:val="00C10EB4"/>
    <w:rsid w:val="00C148A0"/>
    <w:rsid w:val="00C14CF6"/>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B6F66"/>
    <w:rsid w:val="00DF47D8"/>
    <w:rsid w:val="00DF7DA0"/>
    <w:rsid w:val="00E02DAC"/>
    <w:rsid w:val="00E074E9"/>
    <w:rsid w:val="00E448C9"/>
    <w:rsid w:val="00E4617F"/>
    <w:rsid w:val="00E47D4C"/>
    <w:rsid w:val="00E528EF"/>
    <w:rsid w:val="00E85639"/>
    <w:rsid w:val="00E915D7"/>
    <w:rsid w:val="00EA4CAB"/>
    <w:rsid w:val="00EA56B8"/>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66F8A"/>
    <w:rsid w:val="00F92CFA"/>
    <w:rsid w:val="00F96D3B"/>
    <w:rsid w:val="00FA4D62"/>
    <w:rsid w:val="00FA7F32"/>
    <w:rsid w:val="00FD2B49"/>
    <w:rsid w:val="00FD3D00"/>
    <w:rsid w:val="00FE1923"/>
    <w:rsid w:val="00FE3ED6"/>
    <w:rsid w:val="00FE4DDB"/>
    <w:rsid w:val="00FF17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36DF3"/>
  <w15:docId w15:val="{059B1A34-3532-4CAA-B06A-E036EAA7C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298191242">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410617852">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A9F00-7B9A-49DB-86C3-5814CC0EA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4699</Words>
  <Characters>26786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User</cp:lastModifiedBy>
  <cp:revision>16</cp:revision>
  <cp:lastPrinted>2017-05-02T08:49:00Z</cp:lastPrinted>
  <dcterms:created xsi:type="dcterms:W3CDTF">2016-12-28T09:44:00Z</dcterms:created>
  <dcterms:modified xsi:type="dcterms:W3CDTF">2019-01-25T20:09:00Z</dcterms:modified>
</cp:coreProperties>
</file>