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bookmarkStart w:id="0" w:name="_GoBack"/>
            <w:bookmarkEnd w:id="0"/>
            <w:r w:rsidRPr="004219AD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352B63" w:rsidP="003D2429">
            <w:pPr>
              <w:pStyle w:val="Normal1"/>
              <w:spacing w:before="0" w:after="0"/>
            </w:pPr>
            <w:r w:rsidRPr="004219AD">
              <w:t>Echivalent tone de CO</w:t>
            </w:r>
            <w:r w:rsidRPr="004219AD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</w:t>
            </w:r>
            <w:r w:rsidR="00AB69E4" w:rsidRPr="004219AD">
              <w:t>la  î</w:t>
            </w:r>
            <w:r w:rsidRPr="004219AD">
              <w:t xml:space="preserve">nceputul implementării proiectului calculate pentru clădire (precizate în Certificatul de performanţă energetică a clădirii). 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</w:p>
          <w:p w:rsidR="00003A6A" w:rsidRPr="004219AD" w:rsidRDefault="00003A6A" w:rsidP="00003A6A">
            <w:pPr>
              <w:spacing w:before="0" w:after="0"/>
              <w:jc w:val="both"/>
            </w:pPr>
            <w:r w:rsidRPr="004219AD">
              <w:t xml:space="preserve">Valoarea indicatorului anual se va obține prin înmulțirea diferenței rezultate privind emisiile echivalent CO2 cu suprafața utilă a spațiului încălzit al clădirii. 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7D058B" w:rsidRPr="004219AD" w:rsidRDefault="00003A6A" w:rsidP="00003A6A">
            <w:pPr>
              <w:pStyle w:val="Normal1"/>
              <w:spacing w:before="0" w:after="0"/>
            </w:pPr>
            <w:r w:rsidRPr="004219AD">
              <w:t>Indicele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003A6A" w:rsidRPr="004219AD" w:rsidRDefault="00003A6A" w:rsidP="00003A6A">
            <w:pPr>
              <w:pStyle w:val="Normal1"/>
              <w:spacing w:before="0" w:after="0"/>
            </w:pPr>
          </w:p>
          <w:p w:rsidR="00F507DA" w:rsidRPr="004219AD" w:rsidRDefault="00003A6A" w:rsidP="003D2429">
            <w:pPr>
              <w:pStyle w:val="Normal1"/>
              <w:spacing w:before="0" w:after="0"/>
            </w:pPr>
            <w:r w:rsidRPr="004219AD">
              <w:t xml:space="preserve">Potrivit metodologiei, pentru măsura/pachetul de măsuri se recalculează consumurile energetice şi se estimează costurile şi durata corespunzătoare de recuperare a implementării măsurii/pachetului. </w:t>
            </w:r>
          </w:p>
          <w:p w:rsidR="00003A6A" w:rsidRPr="004219AD" w:rsidRDefault="00003A6A" w:rsidP="003D2429">
            <w:pPr>
              <w:pStyle w:val="Normal1"/>
              <w:spacing w:before="0" w:after="0"/>
            </w:pPr>
            <w:r w:rsidRPr="004219AD">
              <w:t>Se recomandă să se solicite și estimarea reducerii anuale specifice a emisiilor, pe măsură sau pe pachet de măsuri.</w:t>
            </w:r>
          </w:p>
        </w:tc>
        <w:tc>
          <w:tcPr>
            <w:tcW w:w="1843" w:type="dxa"/>
          </w:tcPr>
          <w:p w:rsidR="007D058B" w:rsidRPr="004219AD" w:rsidRDefault="007D058B" w:rsidP="00003A6A">
            <w:pPr>
              <w:pStyle w:val="Normal1"/>
              <w:spacing w:before="0" w:after="0"/>
            </w:pPr>
            <w:r w:rsidRPr="004219AD">
              <w:t>Raportul de audit energetic</w:t>
            </w:r>
            <w:r w:rsidR="00003A6A" w:rsidRPr="004219AD">
              <w:t xml:space="preserve"> și </w:t>
            </w:r>
            <w:r w:rsidRPr="004219AD">
              <w:t>Certificatul de performanţă energetică</w:t>
            </w:r>
          </w:p>
        </w:tc>
      </w:tr>
      <w:tr w:rsidR="007D058B" w:rsidTr="004219AD">
        <w:tc>
          <w:tcPr>
            <w:tcW w:w="2943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lastRenderedPageBreak/>
              <w:t xml:space="preserve">Numărul gospodăriilor cu o clasificare mai bună a consumului de energie </w:t>
            </w:r>
          </w:p>
        </w:tc>
        <w:tc>
          <w:tcPr>
            <w:tcW w:w="2552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Se referă la gospodăriile care obțin o clasificare mai bună a consumului de energie după implementarea proiectului comparativ cu situația inițială. Prin gospodărie se înțelege unitatea locativă,  indiferent de numărul de camere, situația juridică a acestuia (proprietate persoană fizică, respectiv persoană juridică) sau de tipul de destinaţie (destinație de locuință, spaţiu comercial sau altă destinație decât locuinţă).  </w:t>
            </w:r>
          </w:p>
          <w:p w:rsidR="006E5710" w:rsidRPr="004219AD" w:rsidRDefault="006E5710" w:rsidP="001C1C72">
            <w:pPr>
              <w:pStyle w:val="Normal1"/>
              <w:spacing w:before="0" w:after="0"/>
            </w:pPr>
          </w:p>
          <w:p w:rsidR="006E5710" w:rsidRPr="004219AD" w:rsidRDefault="006E5710" w:rsidP="001C1C72">
            <w:pPr>
              <w:pStyle w:val="Normal1"/>
              <w:spacing w:before="0" w:after="0"/>
            </w:pPr>
            <w:r w:rsidRPr="004219AD">
              <w:t xml:space="preserve">Grilele de clasificare energetică a clădirilor sunt precizate în Metodologia de calcul al performanței energetice a clădirilor, aprobată prin Ordinul ministrului transporturilor, construcțiilor și turismului nr. 157/2007, cu modificările și completările ulterioare.    </w:t>
            </w:r>
          </w:p>
          <w:p w:rsidR="006E5710" w:rsidRPr="004219AD" w:rsidRDefault="006E5710" w:rsidP="003D2429">
            <w:pPr>
              <w:pStyle w:val="Normal1"/>
              <w:spacing w:before="0" w:after="0"/>
            </w:pP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</w:tc>
        <w:tc>
          <w:tcPr>
            <w:tcW w:w="1559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Număr gospodării</w:t>
            </w:r>
          </w:p>
        </w:tc>
        <w:tc>
          <w:tcPr>
            <w:tcW w:w="4698" w:type="dxa"/>
            <w:shd w:val="clear" w:color="auto" w:fill="auto"/>
          </w:tcPr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la începutul implementării proiectului este zero. 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Valoarea indicatorului înregistrată la finalul implementării proiectului reprezintă numărul de gospodării care înregistrează o clasificare mai bună a consumului de energie ca urmare a implementării proiectului. </w:t>
            </w:r>
          </w:p>
        </w:tc>
        <w:tc>
          <w:tcPr>
            <w:tcW w:w="1843" w:type="dxa"/>
            <w:shd w:val="clear" w:color="auto" w:fill="auto"/>
          </w:tcPr>
          <w:p w:rsidR="007D058B" w:rsidRPr="004219AD" w:rsidRDefault="004219AD" w:rsidP="004219AD">
            <w:pPr>
              <w:spacing w:before="0" w:after="0"/>
              <w:jc w:val="both"/>
            </w:pPr>
            <w:r w:rsidRPr="004219AD">
              <w:t>Raport de audit energetic</w:t>
            </w:r>
            <w:r w:rsidR="00F507DA" w:rsidRPr="004219AD">
              <w:t>/Documentația tehnică/tehnico-economică a proiectului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de energie primară </w:t>
            </w:r>
          </w:p>
        </w:tc>
        <w:tc>
          <w:tcPr>
            <w:tcW w:w="2552" w:type="dxa"/>
          </w:tcPr>
          <w:p w:rsidR="007D058B" w:rsidRPr="004219AD" w:rsidRDefault="00245804" w:rsidP="00846CA0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>e referă la cantita</w:t>
            </w:r>
            <w:r w:rsidR="004E6691" w:rsidRPr="004219AD">
              <w:t>tea de energie primară economisită</w:t>
            </w:r>
            <w:r w:rsidR="00846CA0" w:rsidRPr="004219AD">
              <w:t xml:space="preserve"> anual </w:t>
            </w:r>
            <w:r w:rsidR="007D058B" w:rsidRPr="004219AD">
              <w:t xml:space="preserve">la nivelul clădirii 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kW</w:t>
            </w:r>
            <w:r w:rsidR="007D058B" w:rsidRPr="004219AD">
              <w:t>h/an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Transformarea energiei finale în energie primară se realizează pentru fiecare vector energetic (încălzire/răcire, apă caldă de consum, electric) utilizând coeficienţii corespunzători de conversie în energie primară prevăzuţi în Ordinul MDRAPFE nr. 2461/2017.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la începutul implementării proiectului reprezintă valoarea calculată iniţial pentru clădire (precizată în Raportul de audit energetic).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pentru clădire după implementarea măsurilor/pachetelor de măsuri propuse în Raportul de audit energetic.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t>Raport de</w:t>
            </w:r>
            <w:r w:rsidR="00846CA0" w:rsidRPr="004219AD">
              <w:t xml:space="preserve">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specific de energie pentru încălzire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 xml:space="preserve">e referă la cantitatea de energie termică </w:t>
            </w:r>
            <w:r w:rsidR="004219AD" w:rsidRPr="004219AD">
              <w:t xml:space="preserve">economisită </w:t>
            </w:r>
            <w:r w:rsidR="007D058B" w:rsidRPr="004219AD">
              <w:t>la nivelul clădirii</w:t>
            </w:r>
          </w:p>
        </w:tc>
        <w:tc>
          <w:tcPr>
            <w:tcW w:w="1559" w:type="dxa"/>
          </w:tcPr>
          <w:p w:rsidR="007D058B" w:rsidRPr="004219AD" w:rsidRDefault="004E6691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kW</w:t>
            </w:r>
            <w:r w:rsidR="007D058B" w:rsidRPr="004219AD">
              <w:t>h/m2/an</w:t>
            </w:r>
          </w:p>
        </w:tc>
        <w:tc>
          <w:tcPr>
            <w:tcW w:w="4698" w:type="dxa"/>
          </w:tcPr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Scăderea consumului anual specific de energie pentru încălzire este dată de diferența dintre valoarea înregistrată la finalul implementării proiectului și valoarea înregistrată la începutul </w:t>
            </w:r>
            <w:r w:rsidRPr="004219AD">
              <w:lastRenderedPageBreak/>
              <w:t>implementării proiectului.</w:t>
            </w:r>
          </w:p>
          <w:p w:rsidR="004E6691" w:rsidRPr="004219AD" w:rsidRDefault="004E6691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4E6691" w:rsidRPr="004219AD" w:rsidRDefault="004E6691" w:rsidP="004E6691">
            <w:pPr>
              <w:spacing w:before="0" w:after="0"/>
              <w:jc w:val="both"/>
            </w:pPr>
            <w:r w:rsidRPr="004219AD">
              <w:t xml:space="preserve">Valoarea indicatorului la începutul implementării proiectului reprezintă valoarea calculată inițial pentru clădire (precizată în Raportul de audit energetic). </w:t>
            </w:r>
          </w:p>
          <w:p w:rsidR="004E6691" w:rsidRPr="004219AD" w:rsidRDefault="004E6691" w:rsidP="004E6691">
            <w:pPr>
              <w:spacing w:before="0" w:after="0"/>
              <w:jc w:val="both"/>
            </w:pPr>
          </w:p>
          <w:p w:rsidR="007D058B" w:rsidRPr="004219AD" w:rsidRDefault="004E6691" w:rsidP="004E6691">
            <w:pPr>
              <w:pStyle w:val="Normal1"/>
              <w:spacing w:before="0" w:after="0"/>
            </w:pPr>
            <w:r w:rsidRPr="004219AD">
              <w:t>Valoarea indicatorului la finalul implementării proiectului reprezintă valoarea calculată după implementarea măsurilor/pachetelor de măsuri propuse prin Raportul de audit energetic.</w:t>
            </w:r>
          </w:p>
          <w:p w:rsidR="00D84138" w:rsidRPr="004219AD" w:rsidRDefault="00D84138" w:rsidP="004E66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7D058B" w:rsidRPr="004219AD" w:rsidRDefault="004E6691" w:rsidP="003D2429">
            <w:pPr>
              <w:pStyle w:val="Normal1"/>
              <w:spacing w:before="0" w:after="0"/>
            </w:pPr>
            <w:r w:rsidRPr="004219AD">
              <w:lastRenderedPageBreak/>
              <w:t>Raport de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 xml:space="preserve">Certificat de performanță </w:t>
            </w:r>
            <w:r w:rsidRPr="004219AD">
              <w:lastRenderedPageBreak/>
              <w:t>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4219AD" w:rsidRDefault="004E6691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lastRenderedPageBreak/>
              <w:t>Scăderea c</w:t>
            </w:r>
            <w:r w:rsidR="007D058B" w:rsidRPr="004219AD">
              <w:t>onsumul</w:t>
            </w:r>
            <w:r w:rsidRPr="004219AD">
              <w:t>ui</w:t>
            </w:r>
            <w:r w:rsidR="007D058B" w:rsidRPr="004219AD">
              <w:t xml:space="preserve"> anual specific de energie </w:t>
            </w:r>
          </w:p>
        </w:tc>
        <w:tc>
          <w:tcPr>
            <w:tcW w:w="2552" w:type="dxa"/>
          </w:tcPr>
          <w:p w:rsidR="007D058B" w:rsidRPr="004219AD" w:rsidRDefault="00245804" w:rsidP="003D2429">
            <w:pPr>
              <w:pStyle w:val="Normal1"/>
              <w:spacing w:before="0" w:after="0"/>
            </w:pPr>
            <w:r w:rsidRPr="004219AD">
              <w:t>S</w:t>
            </w:r>
            <w:r w:rsidR="007D058B" w:rsidRPr="004219AD">
              <w:t xml:space="preserve">e referă la cantitatea de energie termică și electrică </w:t>
            </w:r>
            <w:r w:rsidR="004219AD" w:rsidRPr="004219AD">
              <w:t xml:space="preserve">economisită </w:t>
            </w:r>
            <w:r w:rsidR="007D058B" w:rsidRPr="004219AD">
              <w:t>la nivelul clădirii</w:t>
            </w:r>
          </w:p>
        </w:tc>
        <w:tc>
          <w:tcPr>
            <w:tcW w:w="1559" w:type="dxa"/>
          </w:tcPr>
          <w:p w:rsidR="007D058B" w:rsidRPr="004219AD" w:rsidRDefault="007D058B" w:rsidP="004E6691">
            <w:pPr>
              <w:pStyle w:val="Normal1"/>
              <w:spacing w:before="0" w:after="0"/>
              <w:rPr>
                <w:b/>
              </w:rPr>
            </w:pPr>
            <w:r w:rsidRPr="004219AD">
              <w:t>k</w:t>
            </w:r>
            <w:r w:rsidR="004E6691" w:rsidRPr="004219AD">
              <w:t>W</w:t>
            </w:r>
            <w:r w:rsidRPr="004219AD">
              <w:t>h/m2/an</w:t>
            </w:r>
          </w:p>
        </w:tc>
        <w:tc>
          <w:tcPr>
            <w:tcW w:w="4698" w:type="dxa"/>
          </w:tcPr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Scăderea consumului anual specific de energie este dată de diferența dintre valorile înregistrate la finalul implementării proiectului și valorile înregistrate la începutul implementării proiectului.</w:t>
            </w:r>
          </w:p>
          <w:p w:rsidR="00D84138" w:rsidRPr="004219AD" w:rsidRDefault="00D84138" w:rsidP="003D2429">
            <w:pPr>
              <w:pStyle w:val="Normal1"/>
              <w:spacing w:before="0" w:after="0"/>
            </w:pPr>
          </w:p>
          <w:p w:rsidR="007D058B" w:rsidRPr="004219AD" w:rsidRDefault="007D058B" w:rsidP="003D2429">
            <w:pPr>
              <w:pStyle w:val="Normal1"/>
              <w:spacing w:before="0" w:after="0"/>
            </w:pPr>
            <w:r w:rsidRPr="004219A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4219AD" w:rsidRDefault="007D058B" w:rsidP="003D2429">
            <w:pPr>
              <w:pStyle w:val="Normal1"/>
              <w:spacing w:before="0" w:after="0"/>
            </w:pPr>
          </w:p>
          <w:p w:rsidR="00D84138" w:rsidRPr="004219AD" w:rsidRDefault="00D84138" w:rsidP="00D84138">
            <w:pPr>
              <w:spacing w:before="0" w:after="0"/>
              <w:jc w:val="both"/>
              <w:rPr>
                <w:color w:val="FF0000"/>
              </w:rPr>
            </w:pPr>
            <w:r w:rsidRPr="004219AD">
              <w:t xml:space="preserve">Valoarea indicatorului la începutul implementării proiectului reprezintă valoarea calculată iniţial pentru clădire (precizată în Certificatul de performanță energetică). </w:t>
            </w:r>
          </w:p>
          <w:p w:rsidR="00D84138" w:rsidRPr="004219AD" w:rsidRDefault="00D84138" w:rsidP="00D84138">
            <w:pPr>
              <w:spacing w:before="0" w:after="0"/>
              <w:jc w:val="both"/>
            </w:pPr>
          </w:p>
          <w:p w:rsidR="00D84138" w:rsidRPr="004219AD" w:rsidRDefault="00D84138" w:rsidP="00D84138">
            <w:pPr>
              <w:spacing w:before="0" w:after="0"/>
              <w:jc w:val="both"/>
            </w:pPr>
            <w:r w:rsidRPr="004219AD">
              <w:t>Valoarea indicatorului înregistrată la finalul implementării proiectului reprezintă valoarea calculată după implementarea proiectului (după implementarea măsurilor/pachetelor de măsuri propuse prin Raportul de audit energetic).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</w:p>
        </w:tc>
        <w:tc>
          <w:tcPr>
            <w:tcW w:w="1843" w:type="dxa"/>
          </w:tcPr>
          <w:p w:rsidR="007D058B" w:rsidRPr="004219AD" w:rsidRDefault="00D84138" w:rsidP="003D2429">
            <w:pPr>
              <w:pStyle w:val="Normal1"/>
              <w:spacing w:before="0" w:after="0"/>
            </w:pPr>
            <w:r w:rsidRPr="004219AD">
              <w:lastRenderedPageBreak/>
              <w:t>Raport de audit energetic și</w:t>
            </w:r>
          </w:p>
          <w:p w:rsidR="007D058B" w:rsidRPr="004219AD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4219AD">
              <w:t>Certificat de performanță energetică</w:t>
            </w:r>
          </w:p>
        </w:tc>
      </w:tr>
    </w:tbl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E8007F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CB2" w:rsidRDefault="00904CB2" w:rsidP="00995C14">
      <w:pPr>
        <w:spacing w:before="0" w:after="0"/>
      </w:pPr>
      <w:r>
        <w:separator/>
      </w:r>
    </w:p>
  </w:endnote>
  <w:endnote w:type="continuationSeparator" w:id="0">
    <w:p w:rsidR="00904CB2" w:rsidRDefault="00904CB2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32" w:rsidRDefault="006929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19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32" w:rsidRDefault="00692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CB2" w:rsidRDefault="00904CB2" w:rsidP="00995C14">
      <w:pPr>
        <w:spacing w:before="0" w:after="0"/>
      </w:pPr>
      <w:r>
        <w:separator/>
      </w:r>
    </w:p>
  </w:footnote>
  <w:footnote w:type="continuationSeparator" w:id="0">
    <w:p w:rsidR="00904CB2" w:rsidRDefault="00904CB2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32" w:rsidRDefault="006929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003A6A" w:rsidRDefault="00003A6A" w:rsidP="00003A6A">
    <w:pPr>
      <w:pStyle w:val="Normal1"/>
      <w:spacing w:before="0" w:after="0"/>
      <w:jc w:val="right"/>
      <w:rPr>
        <w:b/>
        <w:bCs/>
        <w:color w:val="808080"/>
        <w:sz w:val="14"/>
      </w:rPr>
    </w:pPr>
    <w:r>
      <w:rPr>
        <w:b/>
        <w:bCs/>
        <w:color w:val="808080"/>
        <w:sz w:val="14"/>
      </w:rPr>
      <w:t xml:space="preserve">Ghidul Solicitantului – Condiții specifice de accesare a fondurilor în cadrul </w:t>
    </w:r>
    <w:r w:rsidRPr="00193931">
      <w:rPr>
        <w:b/>
        <w:bCs/>
        <w:color w:val="808080"/>
        <w:sz w:val="14"/>
      </w:rPr>
      <w:t>apelurilor de pro</w:t>
    </w:r>
    <w:r>
      <w:rPr>
        <w:b/>
        <w:bCs/>
        <w:color w:val="808080"/>
        <w:sz w:val="14"/>
      </w:rPr>
      <w:t>iecte cu titlul POR/2017/3/3.1/A/2/7REGIUNI, POR/2017/3/3.1/A/2</w:t>
    </w:r>
    <w:r w:rsidRPr="00193931">
      <w:rPr>
        <w:b/>
        <w:bCs/>
        <w:color w:val="808080"/>
        <w:sz w:val="14"/>
      </w:rPr>
      <w:t>/BI</w:t>
    </w:r>
    <w:r>
      <w:rPr>
        <w:b/>
        <w:bCs/>
        <w:color w:val="808080"/>
        <w:sz w:val="14"/>
      </w:rPr>
      <w:t>,</w:t>
    </w:r>
  </w:p>
  <w:p w:rsidR="00003A6A" w:rsidRDefault="00003A6A" w:rsidP="00003A6A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t xml:space="preserve"> </w:t>
    </w:r>
    <w:r w:rsidR="00692932">
      <w:rPr>
        <w:b/>
        <w:bCs/>
        <w:color w:val="808080"/>
        <w:sz w:val="14"/>
      </w:rPr>
      <w:t>POR/2017/3/3.1/A/</w:t>
    </w:r>
    <w:r>
      <w:rPr>
        <w:b/>
        <w:bCs/>
        <w:color w:val="808080"/>
        <w:sz w:val="14"/>
      </w:rPr>
      <w:t>ITI</w:t>
    </w:r>
    <w:r w:rsidR="00692932">
      <w:rPr>
        <w:b/>
        <w:bCs/>
        <w:color w:val="808080"/>
        <w:sz w:val="14"/>
      </w:rPr>
      <w:t>/1</w:t>
    </w:r>
    <w:r>
      <w:rPr>
        <w:rFonts w:cs="Arial"/>
        <w:b/>
        <w:bCs/>
        <w:color w:val="333333"/>
        <w:sz w:val="14"/>
      </w:rPr>
      <w:t xml:space="preserve"> </w:t>
    </w:r>
  </w:p>
  <w:p w:rsidR="00995C14" w:rsidRPr="00283089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</w:t>
    </w:r>
    <w:r w:rsidR="00766B67">
      <w:rPr>
        <w:rFonts w:cs="Arial"/>
        <w:b/>
        <w:bCs/>
        <w:color w:val="333333"/>
        <w:sz w:val="14"/>
      </w:rPr>
      <w:t>6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32" w:rsidRDefault="006929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03A6A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30168D"/>
    <w:rsid w:val="0031232B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123B9"/>
    <w:rsid w:val="004219AD"/>
    <w:rsid w:val="00460232"/>
    <w:rsid w:val="00473627"/>
    <w:rsid w:val="004969AB"/>
    <w:rsid w:val="004A1DF8"/>
    <w:rsid w:val="004A74A1"/>
    <w:rsid w:val="004B32E2"/>
    <w:rsid w:val="004B74B7"/>
    <w:rsid w:val="004E0101"/>
    <w:rsid w:val="004E6691"/>
    <w:rsid w:val="004F46BF"/>
    <w:rsid w:val="004F4F43"/>
    <w:rsid w:val="00500541"/>
    <w:rsid w:val="00515E5E"/>
    <w:rsid w:val="005216E5"/>
    <w:rsid w:val="005529A9"/>
    <w:rsid w:val="00557611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92932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25521"/>
    <w:rsid w:val="0083003B"/>
    <w:rsid w:val="00845032"/>
    <w:rsid w:val="00846CA0"/>
    <w:rsid w:val="008632BB"/>
    <w:rsid w:val="008729C5"/>
    <w:rsid w:val="00873FC9"/>
    <w:rsid w:val="008749EC"/>
    <w:rsid w:val="008A7D5C"/>
    <w:rsid w:val="008C2EBF"/>
    <w:rsid w:val="008D0DCE"/>
    <w:rsid w:val="008F3B31"/>
    <w:rsid w:val="008F7A07"/>
    <w:rsid w:val="00904CB2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83288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84138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07DA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205F96-366D-4D68-90DE-DADEA3EC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99B2-8514-4E2C-85AF-37E9D547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885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41</cp:revision>
  <cp:lastPrinted>2016-05-07T13:01:00Z</cp:lastPrinted>
  <dcterms:created xsi:type="dcterms:W3CDTF">2016-03-09T14:17:00Z</dcterms:created>
  <dcterms:modified xsi:type="dcterms:W3CDTF">2017-07-27T08:41:00Z</dcterms:modified>
</cp:coreProperties>
</file>